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1BA05" w14:textId="77777777" w:rsidR="00DA36E8" w:rsidRDefault="00DA36E8">
      <w:pPr>
        <w:sectPr w:rsidR="00DA36E8" w:rsidSect="007D4BF7">
          <w:headerReference w:type="even" r:id="rId8"/>
          <w:headerReference w:type="default" r:id="rId9"/>
          <w:type w:val="continuous"/>
          <w:pgSz w:w="12240" w:h="15840" w:code="1"/>
          <w:pgMar w:top="1440" w:right="1440" w:bottom="1440" w:left="1440" w:header="720" w:footer="720" w:gutter="0"/>
          <w:cols w:space="720"/>
        </w:sectPr>
      </w:pPr>
    </w:p>
    <w:p w14:paraId="79B3FABF" w14:textId="3A186F67" w:rsidR="0070304E" w:rsidRPr="001F69FA" w:rsidRDefault="0070304E" w:rsidP="0070304E">
      <w:pPr>
        <w:tabs>
          <w:tab w:val="left" w:pos="1440"/>
        </w:tabs>
        <w:rPr>
          <w:sz w:val="24"/>
          <w:szCs w:val="24"/>
        </w:rPr>
      </w:pPr>
      <w:bookmarkStart w:id="0" w:name="_Hlk33089870"/>
      <w:r w:rsidRPr="001F69FA">
        <w:rPr>
          <w:b/>
          <w:sz w:val="24"/>
          <w:szCs w:val="24"/>
        </w:rPr>
        <w:t>T</w:t>
      </w:r>
      <w:r>
        <w:rPr>
          <w:b/>
          <w:sz w:val="24"/>
          <w:szCs w:val="24"/>
        </w:rPr>
        <w:t>O</w:t>
      </w:r>
      <w:r w:rsidRPr="001F69FA">
        <w:rPr>
          <w:b/>
          <w:sz w:val="24"/>
          <w:szCs w:val="24"/>
        </w:rPr>
        <w:t>:</w:t>
      </w:r>
      <w:r w:rsidRPr="001F69FA">
        <w:rPr>
          <w:sz w:val="24"/>
          <w:szCs w:val="24"/>
        </w:rPr>
        <w:tab/>
      </w:r>
      <w:r w:rsidR="00020485">
        <w:rPr>
          <w:sz w:val="24"/>
          <w:szCs w:val="24"/>
        </w:rPr>
        <w:t>Kevin Bartz</w:t>
      </w:r>
      <w:r>
        <w:rPr>
          <w:sz w:val="24"/>
          <w:szCs w:val="24"/>
        </w:rPr>
        <w:t xml:space="preserve">, </w:t>
      </w:r>
      <w:r w:rsidRPr="001F69FA">
        <w:rPr>
          <w:sz w:val="24"/>
          <w:szCs w:val="24"/>
        </w:rPr>
        <w:t>Attorney</w:t>
      </w:r>
    </w:p>
    <w:p w14:paraId="08A75C8A" w14:textId="77777777" w:rsidR="0070304E" w:rsidRPr="001F69FA" w:rsidRDefault="0070304E" w:rsidP="007D4BF7">
      <w:pPr>
        <w:ind w:left="720" w:firstLine="720"/>
        <w:rPr>
          <w:sz w:val="24"/>
          <w:szCs w:val="24"/>
        </w:rPr>
      </w:pPr>
      <w:r w:rsidRPr="001F69FA">
        <w:rPr>
          <w:sz w:val="24"/>
          <w:szCs w:val="24"/>
        </w:rPr>
        <w:t>Legal Division</w:t>
      </w:r>
    </w:p>
    <w:p w14:paraId="1795C405" w14:textId="77777777" w:rsidR="0070304E" w:rsidRPr="001F69FA" w:rsidRDefault="0070304E" w:rsidP="0070304E">
      <w:pPr>
        <w:rPr>
          <w:sz w:val="24"/>
          <w:szCs w:val="24"/>
        </w:rPr>
      </w:pPr>
    </w:p>
    <w:p w14:paraId="678DBBE5" w14:textId="64D8185E" w:rsidR="0070304E" w:rsidRDefault="0070304E" w:rsidP="0070304E">
      <w:pPr>
        <w:tabs>
          <w:tab w:val="left" w:pos="1440"/>
        </w:tabs>
        <w:rPr>
          <w:sz w:val="24"/>
          <w:szCs w:val="24"/>
        </w:rPr>
      </w:pPr>
      <w:r w:rsidRPr="001F69FA">
        <w:rPr>
          <w:b/>
          <w:sz w:val="24"/>
          <w:szCs w:val="24"/>
        </w:rPr>
        <w:t>F</w:t>
      </w:r>
      <w:r>
        <w:rPr>
          <w:b/>
          <w:sz w:val="24"/>
          <w:szCs w:val="24"/>
        </w:rPr>
        <w:t>ROM</w:t>
      </w:r>
      <w:r w:rsidRPr="001F69FA">
        <w:rPr>
          <w:b/>
          <w:sz w:val="24"/>
          <w:szCs w:val="24"/>
        </w:rPr>
        <w:t>:</w:t>
      </w:r>
      <w:r w:rsidRPr="001F69FA">
        <w:rPr>
          <w:sz w:val="24"/>
          <w:szCs w:val="24"/>
        </w:rPr>
        <w:tab/>
      </w:r>
      <w:r>
        <w:rPr>
          <w:sz w:val="24"/>
          <w:szCs w:val="24"/>
        </w:rPr>
        <w:t>Leila Guerrero</w:t>
      </w:r>
      <w:r w:rsidRPr="001F69FA">
        <w:rPr>
          <w:sz w:val="24"/>
          <w:szCs w:val="24"/>
        </w:rPr>
        <w:t>,</w:t>
      </w:r>
      <w:r>
        <w:rPr>
          <w:sz w:val="24"/>
          <w:szCs w:val="24"/>
        </w:rPr>
        <w:t xml:space="preserve"> Regulatory Accountant</w:t>
      </w:r>
    </w:p>
    <w:p w14:paraId="6B14D9F7" w14:textId="5FC415D8" w:rsidR="00C134FD" w:rsidRPr="001F69FA" w:rsidRDefault="00C134FD" w:rsidP="0070304E">
      <w:pPr>
        <w:tabs>
          <w:tab w:val="left" w:pos="1440"/>
        </w:tabs>
        <w:rPr>
          <w:sz w:val="24"/>
          <w:szCs w:val="24"/>
        </w:rPr>
      </w:pPr>
      <w:r>
        <w:rPr>
          <w:sz w:val="24"/>
          <w:szCs w:val="24"/>
        </w:rPr>
        <w:tab/>
        <w:t>Rate Regulation</w:t>
      </w:r>
    </w:p>
    <w:p w14:paraId="762805B1" w14:textId="037D728D" w:rsidR="0070304E" w:rsidRPr="001F69FA" w:rsidRDefault="0070304E" w:rsidP="003D7587">
      <w:pPr>
        <w:tabs>
          <w:tab w:val="left" w:pos="1440"/>
        </w:tabs>
        <w:rPr>
          <w:sz w:val="24"/>
          <w:szCs w:val="24"/>
        </w:rPr>
      </w:pPr>
      <w:r w:rsidRPr="001F69FA">
        <w:rPr>
          <w:sz w:val="24"/>
          <w:szCs w:val="24"/>
        </w:rPr>
        <w:tab/>
      </w:r>
    </w:p>
    <w:p w14:paraId="786F3FD3" w14:textId="376BD237" w:rsidR="0070304E" w:rsidRPr="001F69FA" w:rsidRDefault="0070304E" w:rsidP="0070304E">
      <w:pPr>
        <w:tabs>
          <w:tab w:val="left" w:pos="1440"/>
          <w:tab w:val="right" w:pos="9360"/>
        </w:tabs>
        <w:rPr>
          <w:color w:val="FF0000"/>
          <w:sz w:val="24"/>
          <w:szCs w:val="24"/>
        </w:rPr>
      </w:pPr>
      <w:r w:rsidRPr="001F69FA">
        <w:rPr>
          <w:b/>
          <w:sz w:val="24"/>
          <w:szCs w:val="24"/>
        </w:rPr>
        <w:t>D</w:t>
      </w:r>
      <w:r>
        <w:rPr>
          <w:b/>
          <w:sz w:val="24"/>
          <w:szCs w:val="24"/>
        </w:rPr>
        <w:t>ATE</w:t>
      </w:r>
      <w:r w:rsidRPr="001F69FA">
        <w:rPr>
          <w:b/>
          <w:sz w:val="24"/>
          <w:szCs w:val="24"/>
        </w:rPr>
        <w:t>:</w:t>
      </w:r>
      <w:r w:rsidRPr="001F69FA">
        <w:rPr>
          <w:sz w:val="24"/>
          <w:szCs w:val="24"/>
        </w:rPr>
        <w:t xml:space="preserve">  </w:t>
      </w:r>
      <w:r w:rsidRPr="001F69FA">
        <w:rPr>
          <w:sz w:val="24"/>
          <w:szCs w:val="24"/>
        </w:rPr>
        <w:tab/>
      </w:r>
      <w:sdt>
        <w:sdtPr>
          <w:rPr>
            <w:sz w:val="24"/>
            <w:szCs w:val="24"/>
          </w:rPr>
          <w:id w:val="32544021"/>
          <w:placeholder>
            <w:docPart w:val="EE3ACEBDF8F547018AB56B894BF1D195"/>
          </w:placeholder>
          <w:text/>
        </w:sdtPr>
        <w:sdtEndPr/>
        <w:sdtContent>
          <w:r w:rsidR="00895DB4" w:rsidRPr="00127312">
            <w:rPr>
              <w:sz w:val="24"/>
              <w:szCs w:val="24"/>
            </w:rPr>
            <w:t xml:space="preserve">August 4, </w:t>
          </w:r>
          <w:r w:rsidR="001B5B66" w:rsidRPr="00127312">
            <w:rPr>
              <w:sz w:val="24"/>
              <w:szCs w:val="24"/>
            </w:rPr>
            <w:t>2021</w:t>
          </w:r>
        </w:sdtContent>
      </w:sdt>
    </w:p>
    <w:p w14:paraId="5EF06A7A" w14:textId="77777777" w:rsidR="0070304E" w:rsidRPr="001F69FA" w:rsidRDefault="0070304E" w:rsidP="0070304E">
      <w:pPr>
        <w:ind w:left="1440" w:right="-450" w:hanging="1440"/>
        <w:rPr>
          <w:b/>
          <w:sz w:val="24"/>
          <w:szCs w:val="24"/>
        </w:rPr>
      </w:pPr>
    </w:p>
    <w:p w14:paraId="4831A8A8" w14:textId="7010FA3E" w:rsidR="0070304E" w:rsidRPr="001F69FA" w:rsidRDefault="0070304E" w:rsidP="0070304E">
      <w:pPr>
        <w:tabs>
          <w:tab w:val="left" w:pos="1440"/>
        </w:tabs>
        <w:ind w:left="1440" w:hanging="1440"/>
        <w:rPr>
          <w:i/>
          <w:sz w:val="24"/>
          <w:szCs w:val="24"/>
        </w:rPr>
      </w:pPr>
      <w:r w:rsidRPr="001F69FA">
        <w:rPr>
          <w:b/>
          <w:sz w:val="24"/>
          <w:szCs w:val="24"/>
        </w:rPr>
        <w:t>RE:</w:t>
      </w:r>
      <w:r w:rsidRPr="001F69FA">
        <w:rPr>
          <w:b/>
          <w:sz w:val="24"/>
          <w:szCs w:val="24"/>
        </w:rPr>
        <w:tab/>
        <w:t xml:space="preserve">Docket No. </w:t>
      </w:r>
      <w:sdt>
        <w:sdtPr>
          <w:rPr>
            <w:b/>
            <w:sz w:val="24"/>
            <w:szCs w:val="24"/>
          </w:rPr>
          <w:alias w:val="Applicant Name"/>
          <w:tag w:val="Applicant Name"/>
          <w:id w:val="446904641"/>
          <w:placeholder>
            <w:docPart w:val="CD5F3AB3F1D14EA7A342210F3EA500F1"/>
          </w:placeholder>
        </w:sdtPr>
        <w:sdtEndPr/>
        <w:sdtContent>
          <w:r w:rsidR="00DC4549">
            <w:rPr>
              <w:b/>
              <w:sz w:val="24"/>
              <w:szCs w:val="24"/>
            </w:rPr>
            <w:t>5</w:t>
          </w:r>
          <w:r w:rsidR="00716D94">
            <w:rPr>
              <w:b/>
              <w:sz w:val="24"/>
              <w:szCs w:val="24"/>
            </w:rPr>
            <w:t>0569</w:t>
          </w:r>
        </w:sdtContent>
      </w:sdt>
      <w:r w:rsidRPr="001F69FA">
        <w:rPr>
          <w:b/>
          <w:sz w:val="24"/>
          <w:szCs w:val="24"/>
        </w:rPr>
        <w:t xml:space="preserve"> -</w:t>
      </w:r>
      <w:r w:rsidRPr="001F69FA">
        <w:rPr>
          <w:sz w:val="24"/>
          <w:szCs w:val="24"/>
        </w:rPr>
        <w:t xml:space="preserve"> </w:t>
      </w:r>
      <w:r w:rsidRPr="001F69FA">
        <w:rPr>
          <w:i/>
          <w:sz w:val="24"/>
          <w:szCs w:val="24"/>
        </w:rPr>
        <w:t xml:space="preserve">Application of </w:t>
      </w:r>
      <w:r w:rsidR="00716D94">
        <w:rPr>
          <w:i/>
          <w:sz w:val="24"/>
          <w:szCs w:val="24"/>
        </w:rPr>
        <w:t xml:space="preserve">MSEC </w:t>
      </w:r>
      <w:proofErr w:type="gramStart"/>
      <w:r w:rsidR="00716D94">
        <w:rPr>
          <w:i/>
          <w:sz w:val="24"/>
          <w:szCs w:val="24"/>
        </w:rPr>
        <w:t>Waste Water</w:t>
      </w:r>
      <w:proofErr w:type="gramEnd"/>
      <w:r w:rsidR="004D667D">
        <w:rPr>
          <w:i/>
          <w:sz w:val="24"/>
          <w:szCs w:val="24"/>
        </w:rPr>
        <w:t>,</w:t>
      </w:r>
      <w:r w:rsidR="00716D94">
        <w:rPr>
          <w:i/>
          <w:sz w:val="24"/>
          <w:szCs w:val="24"/>
        </w:rPr>
        <w:t xml:space="preserve"> Inc. </w:t>
      </w:r>
      <w:r w:rsidRPr="001F69FA">
        <w:rPr>
          <w:i/>
          <w:sz w:val="24"/>
          <w:szCs w:val="24"/>
        </w:rPr>
        <w:t>for</w:t>
      </w:r>
      <w:r w:rsidR="001B3B3F">
        <w:rPr>
          <w:i/>
          <w:sz w:val="24"/>
          <w:szCs w:val="24"/>
        </w:rPr>
        <w:t xml:space="preserve"> Authority to Change </w:t>
      </w:r>
      <w:r w:rsidRPr="001F69FA">
        <w:rPr>
          <w:i/>
          <w:sz w:val="24"/>
          <w:szCs w:val="24"/>
        </w:rPr>
        <w:t>Rate</w:t>
      </w:r>
      <w:r w:rsidR="001B3B3F">
        <w:rPr>
          <w:i/>
          <w:sz w:val="24"/>
          <w:szCs w:val="24"/>
        </w:rPr>
        <w:t xml:space="preserve">s </w:t>
      </w:r>
    </w:p>
    <w:p w14:paraId="342002CF" w14:textId="77777777" w:rsidR="0070304E" w:rsidRDefault="0070304E" w:rsidP="0070304E">
      <w:pPr>
        <w:ind w:left="1440" w:right="-450" w:hanging="1440"/>
        <w:rPr>
          <w:sz w:val="24"/>
        </w:rPr>
      </w:pPr>
      <w:r w:rsidRPr="001F69FA">
        <w:rPr>
          <w:b/>
          <w:sz w:val="24"/>
          <w:szCs w:val="24"/>
        </w:rPr>
        <w:tab/>
      </w:r>
      <w:r>
        <w:rPr>
          <w:noProof/>
          <w:sz w:val="24"/>
        </w:rPr>
        <mc:AlternateContent>
          <mc:Choice Requires="wps">
            <w:drawing>
              <wp:anchor distT="0" distB="0" distL="114300" distR="114300" simplePos="0" relativeHeight="251659264" behindDoc="0" locked="0" layoutInCell="1" allowOverlap="1" wp14:anchorId="093A4D50" wp14:editId="1CB4B95A">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C10CB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"/>
            </w:pict>
          </mc:Fallback>
        </mc:AlternateContent>
      </w:r>
      <w:r>
        <w:rPr>
          <w:sz w:val="24"/>
        </w:rPr>
        <w:tab/>
      </w:r>
    </w:p>
    <w:p w14:paraId="5EFCBD96" w14:textId="77777777" w:rsidR="00020485" w:rsidRPr="00ED638F" w:rsidRDefault="00020485" w:rsidP="00020485">
      <w:pPr>
        <w:spacing w:after="120"/>
        <w:jc w:val="both"/>
        <w:rPr>
          <w:rFonts w:eastAsiaTheme="minorHAnsi"/>
          <w:b/>
          <w:sz w:val="24"/>
          <w:szCs w:val="24"/>
          <w:u w:val="single"/>
        </w:rPr>
      </w:pPr>
      <w:r>
        <w:rPr>
          <w:rFonts w:eastAsiaTheme="minorHAnsi"/>
          <w:b/>
          <w:sz w:val="24"/>
          <w:szCs w:val="24"/>
          <w:u w:val="single"/>
        </w:rPr>
        <w:t>Background</w:t>
      </w:r>
    </w:p>
    <w:p w14:paraId="21021F47" w14:textId="2242B554" w:rsidR="00020485" w:rsidRPr="00383A95" w:rsidRDefault="00020485" w:rsidP="00020485">
      <w:pPr>
        <w:jc w:val="both"/>
        <w:rPr>
          <w:rFonts w:eastAsiaTheme="minorHAnsi"/>
          <w:b/>
          <w:sz w:val="24"/>
          <w:szCs w:val="24"/>
          <w:u w:val="single"/>
        </w:rPr>
      </w:pPr>
      <w:r w:rsidRPr="00383A95">
        <w:rPr>
          <w:sz w:val="24"/>
          <w:szCs w:val="24"/>
        </w:rPr>
        <w:t>On</w:t>
      </w:r>
      <w:r>
        <w:rPr>
          <w:sz w:val="24"/>
          <w:szCs w:val="24"/>
        </w:rPr>
        <w:t xml:space="preserve"> March 9, 2020, MSEC </w:t>
      </w:r>
      <w:proofErr w:type="gramStart"/>
      <w:r>
        <w:rPr>
          <w:sz w:val="24"/>
          <w:szCs w:val="24"/>
        </w:rPr>
        <w:t>Waste Water</w:t>
      </w:r>
      <w:proofErr w:type="gramEnd"/>
      <w:r>
        <w:rPr>
          <w:sz w:val="24"/>
          <w:szCs w:val="24"/>
        </w:rPr>
        <w:t xml:space="preserve">, Inc. </w:t>
      </w:r>
      <w:r w:rsidRPr="00383A95">
        <w:rPr>
          <w:sz w:val="24"/>
          <w:szCs w:val="24"/>
        </w:rPr>
        <w:t>(</w:t>
      </w:r>
      <w:r>
        <w:rPr>
          <w:sz w:val="24"/>
          <w:szCs w:val="24"/>
        </w:rPr>
        <w:t>MSEC WW</w:t>
      </w:r>
      <w:r w:rsidRPr="00383A95">
        <w:rPr>
          <w:sz w:val="24"/>
          <w:szCs w:val="24"/>
        </w:rPr>
        <w:t>)</w:t>
      </w:r>
      <w:r>
        <w:rPr>
          <w:sz w:val="24"/>
          <w:szCs w:val="24"/>
        </w:rPr>
        <w:t xml:space="preserve">, a Class D utility with </w:t>
      </w:r>
      <w:r w:rsidR="00080E35">
        <w:rPr>
          <w:sz w:val="24"/>
          <w:szCs w:val="24"/>
        </w:rPr>
        <w:t xml:space="preserve">ten </w:t>
      </w:r>
      <w:r>
        <w:rPr>
          <w:sz w:val="24"/>
          <w:szCs w:val="24"/>
        </w:rPr>
        <w:t>active connections,</w:t>
      </w:r>
      <w:r w:rsidRPr="00383A95">
        <w:rPr>
          <w:sz w:val="24"/>
          <w:szCs w:val="24"/>
        </w:rPr>
        <w:t xml:space="preserve"> filed a Class C Rate Change Application with the Public Utility Commission of Texas (Commission) for </w:t>
      </w:r>
      <w:r w:rsidR="00080E35">
        <w:rPr>
          <w:sz w:val="24"/>
          <w:szCs w:val="24"/>
        </w:rPr>
        <w:t>sewer</w:t>
      </w:r>
      <w:r w:rsidR="00895DB4">
        <w:rPr>
          <w:sz w:val="24"/>
          <w:szCs w:val="24"/>
        </w:rPr>
        <w:t xml:space="preserve"> utility</w:t>
      </w:r>
      <w:r w:rsidR="00080E35">
        <w:rPr>
          <w:sz w:val="24"/>
          <w:szCs w:val="24"/>
        </w:rPr>
        <w:t xml:space="preserve"> </w:t>
      </w:r>
      <w:r w:rsidRPr="00383A95">
        <w:rPr>
          <w:sz w:val="24"/>
          <w:szCs w:val="24"/>
        </w:rPr>
        <w:t xml:space="preserve">service provided in </w:t>
      </w:r>
      <w:r w:rsidR="00080E35">
        <w:rPr>
          <w:sz w:val="24"/>
          <w:szCs w:val="24"/>
        </w:rPr>
        <w:t xml:space="preserve">Montgomery </w:t>
      </w:r>
      <w:r w:rsidRPr="00383A95">
        <w:rPr>
          <w:sz w:val="24"/>
          <w:szCs w:val="24"/>
        </w:rPr>
        <w:t xml:space="preserve">County under Certificate of Convenience and Necessity (CCN) No. </w:t>
      </w:r>
      <w:r w:rsidR="00080E35">
        <w:rPr>
          <w:sz w:val="24"/>
          <w:szCs w:val="24"/>
        </w:rPr>
        <w:t>2</w:t>
      </w:r>
      <w:r w:rsidR="004D667D">
        <w:rPr>
          <w:sz w:val="24"/>
          <w:szCs w:val="24"/>
        </w:rPr>
        <w:t>0984</w:t>
      </w:r>
      <w:r w:rsidRPr="00383A95">
        <w:rPr>
          <w:sz w:val="24"/>
          <w:szCs w:val="24"/>
        </w:rPr>
        <w:t>.</w:t>
      </w:r>
      <w:r>
        <w:rPr>
          <w:sz w:val="24"/>
          <w:szCs w:val="24"/>
        </w:rPr>
        <w:t xml:space="preserve">  </w:t>
      </w:r>
    </w:p>
    <w:p w14:paraId="4FEC5DAE" w14:textId="77777777" w:rsidR="00020485" w:rsidRDefault="00020485" w:rsidP="00DD0D4D">
      <w:pPr>
        <w:widowControl w:val="0"/>
        <w:autoSpaceDE w:val="0"/>
        <w:autoSpaceDN w:val="0"/>
        <w:adjustRightInd w:val="0"/>
        <w:jc w:val="both"/>
        <w:rPr>
          <w:sz w:val="24"/>
          <w:szCs w:val="24"/>
        </w:rPr>
      </w:pPr>
    </w:p>
    <w:p w14:paraId="2A54A3BA" w14:textId="77777777" w:rsidR="00080E35" w:rsidRPr="00FD492F" w:rsidRDefault="00080E35" w:rsidP="00080E35">
      <w:pPr>
        <w:spacing w:after="120"/>
        <w:jc w:val="both"/>
        <w:rPr>
          <w:rFonts w:eastAsiaTheme="minorHAnsi"/>
          <w:b/>
          <w:sz w:val="24"/>
          <w:szCs w:val="24"/>
          <w:u w:val="single"/>
        </w:rPr>
      </w:pPr>
      <w:r w:rsidRPr="00FD492F">
        <w:rPr>
          <w:rFonts w:eastAsiaTheme="minorHAnsi"/>
          <w:b/>
          <w:sz w:val="24"/>
          <w:szCs w:val="24"/>
          <w:u w:val="single"/>
        </w:rPr>
        <w:t>Staff Recommendation</w:t>
      </w:r>
    </w:p>
    <w:p w14:paraId="0C19DE48" w14:textId="23125F5E" w:rsidR="00080E35" w:rsidRPr="00FD492F" w:rsidRDefault="00080E35" w:rsidP="00080E35">
      <w:pPr>
        <w:jc w:val="both"/>
        <w:rPr>
          <w:rFonts w:eastAsiaTheme="minorHAnsi"/>
          <w:sz w:val="24"/>
          <w:szCs w:val="24"/>
        </w:rPr>
      </w:pPr>
      <w:r w:rsidRPr="00FD492F">
        <w:rPr>
          <w:rFonts w:eastAsiaTheme="minorHAnsi"/>
          <w:sz w:val="24"/>
          <w:szCs w:val="24"/>
        </w:rPr>
        <w:t>After review</w:t>
      </w:r>
      <w:r w:rsidR="004D667D">
        <w:rPr>
          <w:rFonts w:eastAsiaTheme="minorHAnsi"/>
          <w:sz w:val="24"/>
          <w:szCs w:val="24"/>
        </w:rPr>
        <w:t>ing</w:t>
      </w:r>
      <w:r w:rsidRPr="00FD492F">
        <w:rPr>
          <w:rFonts w:eastAsiaTheme="minorHAnsi"/>
          <w:sz w:val="24"/>
          <w:szCs w:val="24"/>
        </w:rPr>
        <w:t xml:space="preserve"> the application</w:t>
      </w:r>
      <w:r>
        <w:rPr>
          <w:rFonts w:eastAsiaTheme="minorHAnsi"/>
          <w:sz w:val="24"/>
          <w:szCs w:val="24"/>
        </w:rPr>
        <w:t xml:space="preserve"> and subsequent documents</w:t>
      </w:r>
      <w:r w:rsidRPr="00FD492F">
        <w:rPr>
          <w:rFonts w:eastAsiaTheme="minorHAnsi"/>
          <w:sz w:val="24"/>
          <w:szCs w:val="24"/>
        </w:rPr>
        <w:t xml:space="preserve">, </w:t>
      </w:r>
      <w:r>
        <w:rPr>
          <w:rFonts w:eastAsiaTheme="minorHAnsi"/>
          <w:sz w:val="24"/>
          <w:szCs w:val="24"/>
        </w:rPr>
        <w:t>I</w:t>
      </w:r>
      <w:r w:rsidRPr="00FD492F">
        <w:rPr>
          <w:rFonts w:eastAsiaTheme="minorHAnsi"/>
          <w:sz w:val="24"/>
          <w:szCs w:val="24"/>
        </w:rPr>
        <w:t xml:space="preserve"> recommend that the Commission approve the application and find that the rate change complies with the requirements of </w:t>
      </w:r>
      <w:r>
        <w:rPr>
          <w:rFonts w:eastAsiaTheme="minorHAnsi"/>
          <w:sz w:val="24"/>
          <w:szCs w:val="24"/>
        </w:rPr>
        <w:t>Texas Water Code (</w:t>
      </w:r>
      <w:r w:rsidRPr="00FD492F">
        <w:rPr>
          <w:rFonts w:eastAsiaTheme="minorHAnsi"/>
          <w:sz w:val="24"/>
          <w:szCs w:val="24"/>
        </w:rPr>
        <w:t>TWC</w:t>
      </w:r>
      <w:r>
        <w:rPr>
          <w:rFonts w:eastAsiaTheme="minorHAnsi"/>
          <w:sz w:val="24"/>
          <w:szCs w:val="24"/>
        </w:rPr>
        <w:t>)</w:t>
      </w:r>
      <w:r w:rsidRPr="00FD492F">
        <w:rPr>
          <w:rFonts w:eastAsiaTheme="minorHAnsi"/>
          <w:sz w:val="24"/>
          <w:szCs w:val="24"/>
        </w:rPr>
        <w:t xml:space="preserve"> §§ 13.182, 13.183, </w:t>
      </w:r>
      <w:r>
        <w:rPr>
          <w:rFonts w:eastAsiaTheme="minorHAnsi"/>
          <w:sz w:val="24"/>
          <w:szCs w:val="24"/>
        </w:rPr>
        <w:t xml:space="preserve">and </w:t>
      </w:r>
      <w:r w:rsidRPr="00FD492F">
        <w:rPr>
          <w:rFonts w:eastAsiaTheme="minorHAnsi"/>
          <w:sz w:val="24"/>
          <w:szCs w:val="24"/>
        </w:rPr>
        <w:t>13.185 and 16 T</w:t>
      </w:r>
      <w:r>
        <w:rPr>
          <w:rFonts w:eastAsiaTheme="minorHAnsi"/>
          <w:sz w:val="24"/>
          <w:szCs w:val="24"/>
        </w:rPr>
        <w:t xml:space="preserve">exas </w:t>
      </w:r>
      <w:r w:rsidRPr="00FD492F">
        <w:rPr>
          <w:rFonts w:eastAsiaTheme="minorHAnsi"/>
          <w:sz w:val="24"/>
          <w:szCs w:val="24"/>
        </w:rPr>
        <w:t>A</w:t>
      </w:r>
      <w:r>
        <w:rPr>
          <w:rFonts w:eastAsiaTheme="minorHAnsi"/>
          <w:sz w:val="24"/>
          <w:szCs w:val="24"/>
        </w:rPr>
        <w:t xml:space="preserve">dministrative </w:t>
      </w:r>
      <w:r w:rsidRPr="00FD492F">
        <w:rPr>
          <w:rFonts w:eastAsiaTheme="minorHAnsi"/>
          <w:sz w:val="24"/>
          <w:szCs w:val="24"/>
        </w:rPr>
        <w:t>C</w:t>
      </w:r>
      <w:r>
        <w:rPr>
          <w:rFonts w:eastAsiaTheme="minorHAnsi"/>
          <w:sz w:val="24"/>
          <w:szCs w:val="24"/>
        </w:rPr>
        <w:t>ode</w:t>
      </w:r>
      <w:r w:rsidR="004D667D">
        <w:rPr>
          <w:rFonts w:eastAsiaTheme="minorHAnsi"/>
          <w:sz w:val="24"/>
          <w:szCs w:val="24"/>
        </w:rPr>
        <w:t xml:space="preserve"> (TAC)</w:t>
      </w:r>
      <w:r w:rsidRPr="00FD492F">
        <w:rPr>
          <w:rFonts w:eastAsiaTheme="minorHAnsi"/>
          <w:sz w:val="24"/>
          <w:szCs w:val="24"/>
        </w:rPr>
        <w:t xml:space="preserve"> §</w:t>
      </w:r>
      <w:r w:rsidR="008C2294">
        <w:rPr>
          <w:rFonts w:eastAsiaTheme="minorHAnsi"/>
          <w:sz w:val="24"/>
          <w:szCs w:val="24"/>
        </w:rPr>
        <w:t> </w:t>
      </w:r>
      <w:r w:rsidRPr="00FD492F">
        <w:rPr>
          <w:rFonts w:eastAsiaTheme="minorHAnsi"/>
          <w:sz w:val="24"/>
          <w:szCs w:val="24"/>
        </w:rPr>
        <w:t xml:space="preserve">24.41 for the reasons discussed below.  </w:t>
      </w:r>
    </w:p>
    <w:p w14:paraId="57711D1D" w14:textId="77777777" w:rsidR="00080E35" w:rsidRPr="00FD492F" w:rsidRDefault="00080E35" w:rsidP="00080E35">
      <w:pPr>
        <w:jc w:val="both"/>
        <w:rPr>
          <w:rFonts w:eastAsiaTheme="minorHAnsi"/>
          <w:b/>
          <w:sz w:val="24"/>
          <w:szCs w:val="24"/>
          <w:u w:val="single"/>
        </w:rPr>
      </w:pPr>
    </w:p>
    <w:p w14:paraId="2976BAC7" w14:textId="26741932" w:rsidR="00080E35" w:rsidRDefault="00080E35" w:rsidP="00080E35">
      <w:pPr>
        <w:keepNext/>
        <w:jc w:val="both"/>
        <w:rPr>
          <w:rFonts w:eastAsiaTheme="minorHAnsi"/>
          <w:sz w:val="24"/>
          <w:szCs w:val="24"/>
        </w:rPr>
      </w:pPr>
      <w:r w:rsidRPr="00FD492F">
        <w:rPr>
          <w:rFonts w:eastAsiaTheme="minorHAnsi"/>
          <w:sz w:val="24"/>
          <w:szCs w:val="24"/>
        </w:rPr>
        <w:t>Th</w:t>
      </w:r>
      <w:r>
        <w:rPr>
          <w:rFonts w:eastAsiaTheme="minorHAnsi"/>
          <w:sz w:val="24"/>
          <w:szCs w:val="24"/>
        </w:rPr>
        <w:t xml:space="preserve">is is </w:t>
      </w:r>
      <w:r w:rsidR="00F077C3">
        <w:rPr>
          <w:rFonts w:eastAsiaTheme="minorHAnsi"/>
          <w:sz w:val="24"/>
          <w:szCs w:val="24"/>
        </w:rPr>
        <w:t xml:space="preserve">MSEC WW’s </w:t>
      </w:r>
      <w:proofErr w:type="gramStart"/>
      <w:r>
        <w:rPr>
          <w:rFonts w:eastAsiaTheme="minorHAnsi"/>
          <w:sz w:val="24"/>
          <w:szCs w:val="24"/>
        </w:rPr>
        <w:t>first rate</w:t>
      </w:r>
      <w:proofErr w:type="gramEnd"/>
      <w:r>
        <w:rPr>
          <w:rFonts w:eastAsiaTheme="minorHAnsi"/>
          <w:sz w:val="24"/>
          <w:szCs w:val="24"/>
        </w:rPr>
        <w:t xml:space="preserve"> increase application filed with the Commission.  </w:t>
      </w:r>
      <w:r w:rsidR="00F077C3">
        <w:rPr>
          <w:rFonts w:eastAsiaTheme="minorHAnsi"/>
          <w:sz w:val="24"/>
          <w:szCs w:val="24"/>
        </w:rPr>
        <w:t>MSE</w:t>
      </w:r>
      <w:r w:rsidR="00B62D04">
        <w:rPr>
          <w:rFonts w:eastAsiaTheme="minorHAnsi"/>
          <w:sz w:val="24"/>
          <w:szCs w:val="24"/>
        </w:rPr>
        <w:t>C</w:t>
      </w:r>
      <w:r w:rsidR="00F077C3">
        <w:rPr>
          <w:rFonts w:eastAsiaTheme="minorHAnsi"/>
          <w:sz w:val="24"/>
          <w:szCs w:val="24"/>
        </w:rPr>
        <w:t xml:space="preserve"> WW </w:t>
      </w:r>
      <w:r w:rsidRPr="00FD492F">
        <w:rPr>
          <w:rFonts w:eastAsiaTheme="minorHAnsi"/>
          <w:sz w:val="24"/>
          <w:szCs w:val="24"/>
        </w:rPr>
        <w:t>requested a total revenue requirement of $</w:t>
      </w:r>
      <w:r w:rsidR="00B62D04">
        <w:rPr>
          <w:rFonts w:eastAsiaTheme="minorHAnsi"/>
          <w:sz w:val="24"/>
          <w:szCs w:val="24"/>
        </w:rPr>
        <w:t>3</w:t>
      </w:r>
      <w:r w:rsidR="00924E54">
        <w:rPr>
          <w:rFonts w:eastAsiaTheme="minorHAnsi"/>
          <w:sz w:val="24"/>
          <w:szCs w:val="24"/>
        </w:rPr>
        <w:t>77</w:t>
      </w:r>
      <w:r w:rsidR="00B62D04">
        <w:rPr>
          <w:rFonts w:eastAsiaTheme="minorHAnsi"/>
          <w:sz w:val="24"/>
          <w:szCs w:val="24"/>
        </w:rPr>
        <w:t>,</w:t>
      </w:r>
      <w:r w:rsidR="00924E54">
        <w:rPr>
          <w:rFonts w:eastAsiaTheme="minorHAnsi"/>
          <w:sz w:val="24"/>
          <w:szCs w:val="24"/>
        </w:rPr>
        <w:t>104</w:t>
      </w:r>
      <w:r w:rsidRPr="00FD492F">
        <w:rPr>
          <w:rFonts w:eastAsiaTheme="minorHAnsi"/>
          <w:sz w:val="24"/>
          <w:szCs w:val="24"/>
        </w:rPr>
        <w:t xml:space="preserve"> </w:t>
      </w:r>
      <w:r>
        <w:rPr>
          <w:rFonts w:eastAsiaTheme="minorHAnsi"/>
          <w:sz w:val="24"/>
          <w:szCs w:val="24"/>
        </w:rPr>
        <w:t xml:space="preserve">and an overall rate of </w:t>
      </w:r>
      <w:r w:rsidRPr="00FD492F">
        <w:rPr>
          <w:rFonts w:eastAsiaTheme="minorHAnsi"/>
          <w:sz w:val="24"/>
          <w:szCs w:val="24"/>
        </w:rPr>
        <w:t>return on its invested capital</w:t>
      </w:r>
      <w:r>
        <w:rPr>
          <w:rFonts w:eastAsiaTheme="minorHAnsi"/>
          <w:sz w:val="24"/>
          <w:szCs w:val="24"/>
        </w:rPr>
        <w:t xml:space="preserve"> of </w:t>
      </w:r>
      <w:r w:rsidR="00B62D04">
        <w:rPr>
          <w:rFonts w:eastAsiaTheme="minorHAnsi"/>
          <w:sz w:val="24"/>
          <w:szCs w:val="24"/>
        </w:rPr>
        <w:t>4.74</w:t>
      </w:r>
      <w:r>
        <w:rPr>
          <w:rFonts w:eastAsiaTheme="minorHAnsi"/>
          <w:sz w:val="24"/>
          <w:szCs w:val="24"/>
        </w:rPr>
        <w:t>%.</w:t>
      </w:r>
      <w:r>
        <w:rPr>
          <w:rStyle w:val="FootnoteReference"/>
          <w:rFonts w:eastAsiaTheme="minorHAnsi"/>
          <w:sz w:val="24"/>
          <w:szCs w:val="24"/>
        </w:rPr>
        <w:footnoteReference w:id="1"/>
      </w:r>
      <w:r>
        <w:rPr>
          <w:rFonts w:eastAsiaTheme="minorHAnsi"/>
          <w:sz w:val="24"/>
          <w:szCs w:val="24"/>
        </w:rPr>
        <w:t xml:space="preserve">  The table below provides the composition of </w:t>
      </w:r>
      <w:r w:rsidR="00B62D04">
        <w:rPr>
          <w:rFonts w:eastAsiaTheme="minorHAnsi"/>
          <w:sz w:val="24"/>
          <w:szCs w:val="24"/>
        </w:rPr>
        <w:t>MSEC WW</w:t>
      </w:r>
      <w:r>
        <w:rPr>
          <w:rFonts w:eastAsiaTheme="minorHAnsi"/>
          <w:sz w:val="24"/>
          <w:szCs w:val="24"/>
        </w:rPr>
        <w:t xml:space="preserve">’s request. </w:t>
      </w:r>
    </w:p>
    <w:tbl>
      <w:tblPr>
        <w:tblpPr w:leftFromText="180" w:rightFromText="180" w:vertAnchor="text" w:tblpX="-10" w:tblpY="349"/>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9"/>
        <w:gridCol w:w="4526"/>
      </w:tblGrid>
      <w:tr w:rsidR="00080E35" w:rsidRPr="00D23155" w14:paraId="3D9F62DA" w14:textId="77777777" w:rsidTr="00235D02">
        <w:trPr>
          <w:trHeight w:val="304"/>
        </w:trPr>
        <w:tc>
          <w:tcPr>
            <w:tcW w:w="4919" w:type="dxa"/>
          </w:tcPr>
          <w:p w14:paraId="4AE82495" w14:textId="77777777" w:rsidR="00080E35" w:rsidRPr="00D23155" w:rsidRDefault="00080E35" w:rsidP="00235D02">
            <w:pPr>
              <w:jc w:val="center"/>
              <w:rPr>
                <w:b/>
                <w:sz w:val="24"/>
                <w:szCs w:val="24"/>
              </w:rPr>
            </w:pPr>
            <w:r w:rsidRPr="00D23155">
              <w:rPr>
                <w:b/>
                <w:sz w:val="24"/>
                <w:szCs w:val="24"/>
              </w:rPr>
              <w:t>Description</w:t>
            </w:r>
          </w:p>
        </w:tc>
        <w:tc>
          <w:tcPr>
            <w:tcW w:w="4526" w:type="dxa"/>
          </w:tcPr>
          <w:p w14:paraId="46D03C20" w14:textId="77777777" w:rsidR="00080E35" w:rsidRPr="00D23155" w:rsidRDefault="00080E35" w:rsidP="00235D02">
            <w:pPr>
              <w:jc w:val="center"/>
              <w:rPr>
                <w:b/>
                <w:sz w:val="24"/>
                <w:szCs w:val="24"/>
              </w:rPr>
            </w:pPr>
            <w:r w:rsidRPr="00D23155">
              <w:rPr>
                <w:b/>
                <w:sz w:val="24"/>
                <w:szCs w:val="24"/>
              </w:rPr>
              <w:t>Revenue Requirement</w:t>
            </w:r>
            <w:r>
              <w:rPr>
                <w:rStyle w:val="FootnoteReference"/>
                <w:b/>
                <w:sz w:val="24"/>
                <w:szCs w:val="24"/>
              </w:rPr>
              <w:footnoteReference w:id="2"/>
            </w:r>
          </w:p>
        </w:tc>
      </w:tr>
      <w:tr w:rsidR="00080E35" w:rsidRPr="00D23155" w14:paraId="30E35363" w14:textId="77777777" w:rsidTr="00235D02">
        <w:trPr>
          <w:trHeight w:val="304"/>
        </w:trPr>
        <w:tc>
          <w:tcPr>
            <w:tcW w:w="4919" w:type="dxa"/>
          </w:tcPr>
          <w:p w14:paraId="26A02D1F" w14:textId="77777777" w:rsidR="00080E35" w:rsidRPr="00D23155" w:rsidRDefault="00080E35" w:rsidP="00235D02">
            <w:pPr>
              <w:jc w:val="center"/>
              <w:rPr>
                <w:sz w:val="24"/>
                <w:szCs w:val="24"/>
              </w:rPr>
            </w:pPr>
            <w:r w:rsidRPr="00D23155">
              <w:rPr>
                <w:sz w:val="24"/>
                <w:szCs w:val="24"/>
              </w:rPr>
              <w:t>Operati</w:t>
            </w:r>
            <w:r>
              <w:rPr>
                <w:sz w:val="24"/>
                <w:szCs w:val="24"/>
              </w:rPr>
              <w:t>ng Expenses</w:t>
            </w:r>
          </w:p>
        </w:tc>
        <w:tc>
          <w:tcPr>
            <w:tcW w:w="4526" w:type="dxa"/>
          </w:tcPr>
          <w:p w14:paraId="69EFD5A0" w14:textId="50C57539" w:rsidR="00080E35" w:rsidRPr="00D23155" w:rsidRDefault="00080E35" w:rsidP="00235D02">
            <w:pPr>
              <w:jc w:val="center"/>
              <w:rPr>
                <w:sz w:val="24"/>
                <w:szCs w:val="24"/>
              </w:rPr>
            </w:pPr>
            <w:r w:rsidRPr="00D23155">
              <w:rPr>
                <w:sz w:val="24"/>
                <w:szCs w:val="24"/>
              </w:rPr>
              <w:t xml:space="preserve">$ </w:t>
            </w:r>
            <w:r w:rsidR="00B62D04">
              <w:rPr>
                <w:sz w:val="24"/>
                <w:szCs w:val="24"/>
              </w:rPr>
              <w:t>252,004</w:t>
            </w:r>
          </w:p>
        </w:tc>
      </w:tr>
      <w:tr w:rsidR="00080E35" w:rsidRPr="00D23155" w14:paraId="429A6EBF" w14:textId="77777777" w:rsidTr="00235D02">
        <w:trPr>
          <w:trHeight w:val="304"/>
        </w:trPr>
        <w:tc>
          <w:tcPr>
            <w:tcW w:w="4919" w:type="dxa"/>
          </w:tcPr>
          <w:p w14:paraId="1C02C4E6" w14:textId="77777777" w:rsidR="00080E35" w:rsidRPr="00D23155" w:rsidRDefault="00080E35" w:rsidP="00235D02">
            <w:pPr>
              <w:jc w:val="center"/>
              <w:rPr>
                <w:sz w:val="24"/>
                <w:szCs w:val="24"/>
              </w:rPr>
            </w:pPr>
            <w:r>
              <w:rPr>
                <w:sz w:val="24"/>
                <w:szCs w:val="24"/>
              </w:rPr>
              <w:t>Depreciation</w:t>
            </w:r>
          </w:p>
        </w:tc>
        <w:tc>
          <w:tcPr>
            <w:tcW w:w="4526" w:type="dxa"/>
          </w:tcPr>
          <w:p w14:paraId="31486D6B" w14:textId="2BD76D08" w:rsidR="00080E35" w:rsidRPr="00D23155" w:rsidRDefault="00080E35" w:rsidP="00235D02">
            <w:pPr>
              <w:jc w:val="center"/>
              <w:rPr>
                <w:sz w:val="24"/>
                <w:szCs w:val="24"/>
              </w:rPr>
            </w:pPr>
            <w:r w:rsidRPr="00D23155">
              <w:rPr>
                <w:sz w:val="24"/>
                <w:szCs w:val="24"/>
              </w:rPr>
              <w:t xml:space="preserve">$ </w:t>
            </w:r>
            <w:r>
              <w:rPr>
                <w:sz w:val="24"/>
                <w:szCs w:val="24"/>
              </w:rPr>
              <w:t xml:space="preserve">  </w:t>
            </w:r>
            <w:r w:rsidR="00B62D04">
              <w:rPr>
                <w:sz w:val="24"/>
                <w:szCs w:val="24"/>
              </w:rPr>
              <w:t>51,275</w:t>
            </w:r>
          </w:p>
        </w:tc>
      </w:tr>
      <w:tr w:rsidR="00080E35" w:rsidRPr="00D23155" w14:paraId="1847A314" w14:textId="77777777" w:rsidTr="00235D02">
        <w:trPr>
          <w:trHeight w:val="304"/>
        </w:trPr>
        <w:tc>
          <w:tcPr>
            <w:tcW w:w="4919" w:type="dxa"/>
          </w:tcPr>
          <w:p w14:paraId="39977D2A" w14:textId="138D7198" w:rsidR="00080E35" w:rsidRPr="00D23155" w:rsidRDefault="00080E35" w:rsidP="00235D02">
            <w:pPr>
              <w:jc w:val="center"/>
              <w:rPr>
                <w:sz w:val="24"/>
                <w:szCs w:val="24"/>
              </w:rPr>
            </w:pPr>
            <w:r>
              <w:rPr>
                <w:sz w:val="24"/>
                <w:szCs w:val="24"/>
              </w:rPr>
              <w:t xml:space="preserve">Taxes </w:t>
            </w:r>
            <w:r w:rsidR="004D667D">
              <w:rPr>
                <w:sz w:val="24"/>
                <w:szCs w:val="24"/>
              </w:rPr>
              <w:t>O</w:t>
            </w:r>
            <w:r>
              <w:rPr>
                <w:sz w:val="24"/>
                <w:szCs w:val="24"/>
              </w:rPr>
              <w:t>ther than Income Taxes</w:t>
            </w:r>
          </w:p>
        </w:tc>
        <w:tc>
          <w:tcPr>
            <w:tcW w:w="4526" w:type="dxa"/>
          </w:tcPr>
          <w:p w14:paraId="03A97DB1" w14:textId="344B9DE0" w:rsidR="00080E35" w:rsidRPr="00D23155" w:rsidRDefault="00080E35" w:rsidP="00235D02">
            <w:pPr>
              <w:jc w:val="center"/>
              <w:rPr>
                <w:sz w:val="24"/>
                <w:szCs w:val="24"/>
              </w:rPr>
            </w:pPr>
            <w:r w:rsidRPr="00D23155">
              <w:rPr>
                <w:sz w:val="24"/>
                <w:szCs w:val="24"/>
              </w:rPr>
              <w:t>$</w:t>
            </w:r>
            <w:r>
              <w:rPr>
                <w:sz w:val="24"/>
                <w:szCs w:val="24"/>
              </w:rPr>
              <w:t xml:space="preserve"> </w:t>
            </w:r>
            <w:r w:rsidRPr="00D23155">
              <w:rPr>
                <w:sz w:val="24"/>
                <w:szCs w:val="24"/>
              </w:rPr>
              <w:t xml:space="preserve"> </w:t>
            </w:r>
            <w:r>
              <w:rPr>
                <w:sz w:val="24"/>
                <w:szCs w:val="24"/>
              </w:rPr>
              <w:t xml:space="preserve"> </w:t>
            </w:r>
            <w:r w:rsidR="004D667D">
              <w:rPr>
                <w:sz w:val="24"/>
                <w:szCs w:val="24"/>
              </w:rPr>
              <w:t xml:space="preserve">      </w:t>
            </w:r>
            <w:r>
              <w:rPr>
                <w:sz w:val="24"/>
                <w:szCs w:val="24"/>
              </w:rPr>
              <w:t xml:space="preserve">  </w:t>
            </w:r>
            <w:r w:rsidR="00924E54">
              <w:rPr>
                <w:sz w:val="24"/>
                <w:szCs w:val="24"/>
              </w:rPr>
              <w:t>0</w:t>
            </w:r>
          </w:p>
        </w:tc>
      </w:tr>
      <w:tr w:rsidR="00080E35" w:rsidRPr="00D23155" w14:paraId="51F5224C" w14:textId="77777777" w:rsidTr="00235D02">
        <w:trPr>
          <w:trHeight w:val="304"/>
        </w:trPr>
        <w:tc>
          <w:tcPr>
            <w:tcW w:w="4919" w:type="dxa"/>
          </w:tcPr>
          <w:p w14:paraId="0F47FD73" w14:textId="77777777" w:rsidR="00080E35" w:rsidRPr="00D23155" w:rsidRDefault="00080E35" w:rsidP="00235D02">
            <w:pPr>
              <w:jc w:val="center"/>
              <w:rPr>
                <w:sz w:val="24"/>
                <w:szCs w:val="24"/>
              </w:rPr>
            </w:pPr>
            <w:r>
              <w:rPr>
                <w:sz w:val="24"/>
                <w:szCs w:val="24"/>
              </w:rPr>
              <w:t>Federal Income Tax</w:t>
            </w:r>
          </w:p>
        </w:tc>
        <w:tc>
          <w:tcPr>
            <w:tcW w:w="4526" w:type="dxa"/>
          </w:tcPr>
          <w:p w14:paraId="57D2EDAE" w14:textId="6242A133" w:rsidR="00080E35" w:rsidRPr="00D23155" w:rsidRDefault="00080E35" w:rsidP="00235D02">
            <w:pPr>
              <w:jc w:val="center"/>
              <w:rPr>
                <w:sz w:val="24"/>
                <w:szCs w:val="24"/>
              </w:rPr>
            </w:pPr>
            <w:r w:rsidRPr="00D23155">
              <w:rPr>
                <w:sz w:val="24"/>
                <w:szCs w:val="24"/>
              </w:rPr>
              <w:t xml:space="preserve">$ </w:t>
            </w:r>
            <w:r>
              <w:rPr>
                <w:sz w:val="24"/>
                <w:szCs w:val="24"/>
              </w:rPr>
              <w:t xml:space="preserve"> </w:t>
            </w:r>
            <w:r w:rsidR="004F4159">
              <w:rPr>
                <w:sz w:val="24"/>
                <w:szCs w:val="24"/>
              </w:rPr>
              <w:t xml:space="preserve">  5,984</w:t>
            </w:r>
          </w:p>
        </w:tc>
      </w:tr>
      <w:tr w:rsidR="00080E35" w:rsidRPr="00D23155" w14:paraId="50C99E4C" w14:textId="77777777" w:rsidTr="00235D02">
        <w:trPr>
          <w:trHeight w:val="304"/>
        </w:trPr>
        <w:tc>
          <w:tcPr>
            <w:tcW w:w="4919" w:type="dxa"/>
          </w:tcPr>
          <w:p w14:paraId="4431A1A4" w14:textId="77777777" w:rsidR="00080E35" w:rsidRPr="00D23155" w:rsidRDefault="00080E35" w:rsidP="00235D02">
            <w:pPr>
              <w:jc w:val="center"/>
              <w:rPr>
                <w:sz w:val="24"/>
                <w:szCs w:val="24"/>
              </w:rPr>
            </w:pPr>
            <w:r w:rsidRPr="00D23155">
              <w:rPr>
                <w:sz w:val="24"/>
                <w:szCs w:val="24"/>
              </w:rPr>
              <w:t>Return on Rate Base</w:t>
            </w:r>
          </w:p>
        </w:tc>
        <w:tc>
          <w:tcPr>
            <w:tcW w:w="4526" w:type="dxa"/>
          </w:tcPr>
          <w:p w14:paraId="3F12D6DC" w14:textId="36B1CD5C" w:rsidR="00080E35" w:rsidRPr="00D23155" w:rsidRDefault="004F4159" w:rsidP="004F4159">
            <w:pPr>
              <w:rPr>
                <w:sz w:val="24"/>
                <w:szCs w:val="24"/>
              </w:rPr>
            </w:pPr>
            <w:r>
              <w:rPr>
                <w:sz w:val="24"/>
                <w:szCs w:val="24"/>
              </w:rPr>
              <w:t xml:space="preserve">                             </w:t>
            </w:r>
            <w:r w:rsidR="00080E35" w:rsidRPr="00D23155">
              <w:rPr>
                <w:sz w:val="24"/>
                <w:szCs w:val="24"/>
              </w:rPr>
              <w:t>$</w:t>
            </w:r>
            <w:r w:rsidR="00080E35">
              <w:rPr>
                <w:sz w:val="24"/>
                <w:szCs w:val="24"/>
              </w:rPr>
              <w:t xml:space="preserve"> </w:t>
            </w:r>
            <w:r w:rsidR="00B62D04">
              <w:rPr>
                <w:sz w:val="24"/>
                <w:szCs w:val="24"/>
              </w:rPr>
              <w:t>67,841</w:t>
            </w:r>
          </w:p>
        </w:tc>
      </w:tr>
      <w:tr w:rsidR="00080E35" w:rsidRPr="00D23155" w14:paraId="03FB29C0" w14:textId="77777777" w:rsidTr="00235D02">
        <w:trPr>
          <w:trHeight w:val="304"/>
        </w:trPr>
        <w:tc>
          <w:tcPr>
            <w:tcW w:w="4919" w:type="dxa"/>
          </w:tcPr>
          <w:p w14:paraId="61CAA46C" w14:textId="77777777" w:rsidR="00080E35" w:rsidRPr="00D23155" w:rsidRDefault="00080E35" w:rsidP="00235D02">
            <w:pPr>
              <w:jc w:val="center"/>
              <w:rPr>
                <w:sz w:val="24"/>
                <w:szCs w:val="24"/>
              </w:rPr>
            </w:pPr>
            <w:r w:rsidRPr="00D23155">
              <w:rPr>
                <w:b/>
                <w:sz w:val="24"/>
                <w:szCs w:val="24"/>
              </w:rPr>
              <w:t>Total</w:t>
            </w:r>
            <w:r>
              <w:rPr>
                <w:b/>
                <w:sz w:val="24"/>
                <w:szCs w:val="24"/>
              </w:rPr>
              <w:t xml:space="preserve"> </w:t>
            </w:r>
            <w:r w:rsidRPr="00D23155">
              <w:rPr>
                <w:b/>
                <w:sz w:val="24"/>
                <w:szCs w:val="24"/>
              </w:rPr>
              <w:t>Revenue Requirement</w:t>
            </w:r>
          </w:p>
        </w:tc>
        <w:tc>
          <w:tcPr>
            <w:tcW w:w="4526" w:type="dxa"/>
          </w:tcPr>
          <w:p w14:paraId="3612A2C5" w14:textId="1DF62DC1" w:rsidR="00080E35" w:rsidRPr="00D23155" w:rsidRDefault="00080E35" w:rsidP="00235D02">
            <w:pPr>
              <w:jc w:val="center"/>
              <w:rPr>
                <w:sz w:val="24"/>
                <w:szCs w:val="24"/>
              </w:rPr>
            </w:pPr>
            <w:r w:rsidRPr="00D23155">
              <w:rPr>
                <w:b/>
                <w:sz w:val="24"/>
                <w:szCs w:val="24"/>
              </w:rPr>
              <w:t xml:space="preserve">$ </w:t>
            </w:r>
            <w:r w:rsidR="004F4159">
              <w:rPr>
                <w:b/>
                <w:sz w:val="24"/>
                <w:szCs w:val="24"/>
              </w:rPr>
              <w:t>3</w:t>
            </w:r>
            <w:r w:rsidR="00924E54">
              <w:rPr>
                <w:b/>
                <w:sz w:val="24"/>
                <w:szCs w:val="24"/>
              </w:rPr>
              <w:t>77,104</w:t>
            </w:r>
          </w:p>
        </w:tc>
      </w:tr>
    </w:tbl>
    <w:p w14:paraId="11624951" w14:textId="77777777" w:rsidR="004D667D" w:rsidRDefault="004D667D" w:rsidP="00080E35">
      <w:pPr>
        <w:keepNext/>
        <w:jc w:val="both"/>
        <w:rPr>
          <w:rFonts w:eastAsia="Calibri"/>
          <w:sz w:val="24"/>
          <w:szCs w:val="24"/>
        </w:rPr>
      </w:pPr>
    </w:p>
    <w:p w14:paraId="557D577B" w14:textId="790047F6" w:rsidR="00080E35" w:rsidRDefault="004D667D" w:rsidP="00080E35">
      <w:pPr>
        <w:keepNext/>
        <w:jc w:val="both"/>
        <w:rPr>
          <w:rFonts w:eastAsia="Calibri"/>
          <w:sz w:val="24"/>
          <w:szCs w:val="24"/>
        </w:rPr>
      </w:pPr>
      <w:r>
        <w:rPr>
          <w:rFonts w:eastAsia="Calibri"/>
          <w:sz w:val="24"/>
          <w:szCs w:val="24"/>
        </w:rPr>
        <w:t xml:space="preserve">Based on my review, I believe that the </w:t>
      </w:r>
      <w:r w:rsidR="005D1833" w:rsidRPr="00591D7F">
        <w:rPr>
          <w:rFonts w:eastAsia="Calibri"/>
          <w:sz w:val="24"/>
          <w:szCs w:val="24"/>
        </w:rPr>
        <w:t>revenue requirement is</w:t>
      </w:r>
      <w:r>
        <w:rPr>
          <w:rFonts w:eastAsia="Calibri"/>
          <w:sz w:val="24"/>
          <w:szCs w:val="24"/>
        </w:rPr>
        <w:t xml:space="preserve"> </w:t>
      </w:r>
      <w:r w:rsidR="008C2294">
        <w:rPr>
          <w:rFonts w:eastAsia="Calibri"/>
          <w:sz w:val="24"/>
          <w:szCs w:val="24"/>
        </w:rPr>
        <w:t xml:space="preserve">comprised of expenses </w:t>
      </w:r>
      <w:r>
        <w:rPr>
          <w:rFonts w:eastAsia="Calibri"/>
          <w:sz w:val="24"/>
          <w:szCs w:val="24"/>
        </w:rPr>
        <w:t xml:space="preserve">permitted under 16 TAC § 24.41(b), that </w:t>
      </w:r>
      <w:r w:rsidR="00924E54">
        <w:rPr>
          <w:rFonts w:eastAsia="Calibri"/>
          <w:sz w:val="24"/>
          <w:szCs w:val="24"/>
        </w:rPr>
        <w:t xml:space="preserve">the amounts of the </w:t>
      </w:r>
      <w:r w:rsidR="00582A47">
        <w:rPr>
          <w:rFonts w:eastAsia="Calibri"/>
          <w:sz w:val="24"/>
          <w:szCs w:val="24"/>
        </w:rPr>
        <w:t xml:space="preserve">various </w:t>
      </w:r>
      <w:r w:rsidR="00924E54">
        <w:rPr>
          <w:rFonts w:eastAsia="Calibri"/>
          <w:sz w:val="24"/>
          <w:szCs w:val="24"/>
        </w:rPr>
        <w:t xml:space="preserve">expenses requested are reasonable, and </w:t>
      </w:r>
      <w:r>
        <w:rPr>
          <w:rFonts w:eastAsia="Calibri"/>
          <w:sz w:val="24"/>
          <w:szCs w:val="24"/>
        </w:rPr>
        <w:t xml:space="preserve">that </w:t>
      </w:r>
      <w:r w:rsidR="00924E54">
        <w:rPr>
          <w:rFonts w:eastAsia="Calibri"/>
          <w:sz w:val="24"/>
          <w:szCs w:val="24"/>
        </w:rPr>
        <w:t xml:space="preserve">the expenses are necessary for the provision of </w:t>
      </w:r>
      <w:r w:rsidR="00B97635">
        <w:rPr>
          <w:rFonts w:eastAsia="Calibri"/>
          <w:sz w:val="24"/>
          <w:szCs w:val="24"/>
        </w:rPr>
        <w:t>wastewater service</w:t>
      </w:r>
      <w:r w:rsidR="00924E54" w:rsidRPr="003524C1">
        <w:rPr>
          <w:rFonts w:eastAsia="Calibri"/>
          <w:sz w:val="24"/>
          <w:szCs w:val="24"/>
        </w:rPr>
        <w:t>.</w:t>
      </w:r>
    </w:p>
    <w:p w14:paraId="28C87A14" w14:textId="2E0017B3" w:rsidR="00142ECD" w:rsidRDefault="00142ECD" w:rsidP="00080E35">
      <w:pPr>
        <w:keepNext/>
        <w:jc w:val="both"/>
        <w:rPr>
          <w:rFonts w:eastAsia="Calibri"/>
          <w:sz w:val="24"/>
          <w:szCs w:val="24"/>
        </w:rPr>
      </w:pPr>
    </w:p>
    <w:p w14:paraId="15D36D16" w14:textId="3508CDB9" w:rsidR="008B436A" w:rsidRDefault="0014338F" w:rsidP="00D31883">
      <w:pPr>
        <w:widowControl w:val="0"/>
        <w:autoSpaceDE w:val="0"/>
        <w:autoSpaceDN w:val="0"/>
        <w:adjustRightInd w:val="0"/>
        <w:jc w:val="both"/>
        <w:rPr>
          <w:rFonts w:eastAsia="PMingLiU"/>
          <w:sz w:val="24"/>
          <w:szCs w:val="24"/>
        </w:rPr>
      </w:pPr>
      <w:r w:rsidRPr="001228F1">
        <w:rPr>
          <w:rFonts w:eastAsiaTheme="minorHAnsi"/>
          <w:sz w:val="24"/>
          <w:szCs w:val="24"/>
        </w:rPr>
        <w:t xml:space="preserve">MSEC WW is a </w:t>
      </w:r>
      <w:proofErr w:type="gramStart"/>
      <w:r w:rsidRPr="001228F1">
        <w:rPr>
          <w:rFonts w:eastAsiaTheme="minorHAnsi"/>
          <w:sz w:val="24"/>
          <w:szCs w:val="24"/>
        </w:rPr>
        <w:t>wholly-owned</w:t>
      </w:r>
      <w:proofErr w:type="gramEnd"/>
      <w:r w:rsidRPr="001228F1">
        <w:rPr>
          <w:rFonts w:eastAsiaTheme="minorHAnsi"/>
          <w:sz w:val="24"/>
          <w:szCs w:val="24"/>
        </w:rPr>
        <w:t xml:space="preserve"> subsidiary of Mid-South Electric Cooperative</w:t>
      </w:r>
      <w:r w:rsidR="00CD257A">
        <w:rPr>
          <w:rFonts w:eastAsiaTheme="minorHAnsi"/>
          <w:sz w:val="24"/>
          <w:szCs w:val="24"/>
        </w:rPr>
        <w:t xml:space="preserve"> Association</w:t>
      </w:r>
      <w:r w:rsidRPr="001228F1">
        <w:rPr>
          <w:rFonts w:eastAsiaTheme="minorHAnsi"/>
          <w:sz w:val="24"/>
          <w:szCs w:val="24"/>
        </w:rPr>
        <w:t xml:space="preserve"> d/b/a </w:t>
      </w:r>
      <w:r w:rsidR="00CD257A">
        <w:rPr>
          <w:rFonts w:eastAsiaTheme="minorHAnsi"/>
          <w:sz w:val="24"/>
          <w:szCs w:val="24"/>
        </w:rPr>
        <w:t xml:space="preserve">Mid-South Electric Co-op or </w:t>
      </w:r>
      <w:r w:rsidRPr="001228F1">
        <w:rPr>
          <w:rFonts w:eastAsiaTheme="minorHAnsi"/>
          <w:sz w:val="24"/>
          <w:szCs w:val="24"/>
        </w:rPr>
        <w:t>Mid-Sou</w:t>
      </w:r>
      <w:r w:rsidRPr="004C2D2A">
        <w:rPr>
          <w:rFonts w:eastAsiaTheme="minorHAnsi"/>
          <w:sz w:val="24"/>
          <w:szCs w:val="24"/>
        </w:rPr>
        <w:t>th Synergy (Mid-South Electric Coop).  Mid-South Electric Coop also owns MSEC Enterprises</w:t>
      </w:r>
      <w:r w:rsidR="004C2D2A">
        <w:rPr>
          <w:rFonts w:eastAsiaTheme="minorHAnsi"/>
          <w:sz w:val="24"/>
          <w:szCs w:val="24"/>
        </w:rPr>
        <w:t>.</w:t>
      </w:r>
      <w:r w:rsidRPr="001228F1">
        <w:rPr>
          <w:rFonts w:eastAsiaTheme="minorHAnsi"/>
          <w:sz w:val="24"/>
          <w:szCs w:val="24"/>
          <w:vertAlign w:val="superscript"/>
        </w:rPr>
        <w:footnoteReference w:id="3"/>
      </w:r>
      <w:r w:rsidRPr="001228F1">
        <w:rPr>
          <w:rFonts w:eastAsiaTheme="minorHAnsi"/>
          <w:sz w:val="24"/>
          <w:szCs w:val="24"/>
        </w:rPr>
        <w:t xml:space="preserve"> </w:t>
      </w:r>
      <w:r w:rsidRPr="004C2D2A">
        <w:rPr>
          <w:rFonts w:eastAsiaTheme="minorHAnsi"/>
          <w:sz w:val="24"/>
          <w:szCs w:val="24"/>
        </w:rPr>
        <w:t xml:space="preserve">  </w:t>
      </w:r>
      <w:r w:rsidR="00142ECD" w:rsidRPr="004C2D2A">
        <w:rPr>
          <w:rFonts w:eastAsia="Calibri"/>
          <w:sz w:val="24"/>
          <w:szCs w:val="24"/>
        </w:rPr>
        <w:t xml:space="preserve">MSEC WW’s application includes expenses billed for services performed </w:t>
      </w:r>
      <w:r w:rsidR="00142ECD" w:rsidRPr="00615212">
        <w:rPr>
          <w:rFonts w:eastAsia="Calibri"/>
          <w:sz w:val="24"/>
          <w:szCs w:val="24"/>
        </w:rPr>
        <w:t>by</w:t>
      </w:r>
      <w:r w:rsidRPr="00615212">
        <w:rPr>
          <w:rFonts w:eastAsia="Calibri"/>
          <w:sz w:val="24"/>
          <w:szCs w:val="24"/>
        </w:rPr>
        <w:t xml:space="preserve"> </w:t>
      </w:r>
      <w:r w:rsidR="00142ECD" w:rsidRPr="00D31883">
        <w:rPr>
          <w:rFonts w:eastAsia="Calibri"/>
          <w:sz w:val="24"/>
          <w:szCs w:val="24"/>
        </w:rPr>
        <w:t>affiliates</w:t>
      </w:r>
      <w:r w:rsidRPr="00D31883">
        <w:rPr>
          <w:rFonts w:eastAsia="Calibri"/>
          <w:sz w:val="24"/>
          <w:szCs w:val="24"/>
        </w:rPr>
        <w:t xml:space="preserve">.  </w:t>
      </w:r>
      <w:r w:rsidRPr="00D31883">
        <w:rPr>
          <w:rFonts w:eastAsia="PMingLiU"/>
          <w:sz w:val="24"/>
          <w:szCs w:val="24"/>
        </w:rPr>
        <w:t>MSEC WW has entered into a Master Service Agreement with Mid-</w:t>
      </w:r>
      <w:r w:rsidR="00D70769" w:rsidRPr="00D31883">
        <w:rPr>
          <w:rFonts w:eastAsia="PMingLiU"/>
          <w:sz w:val="24"/>
          <w:szCs w:val="24"/>
        </w:rPr>
        <w:t>S</w:t>
      </w:r>
      <w:r w:rsidRPr="00D31883">
        <w:rPr>
          <w:rFonts w:eastAsia="PMingLiU"/>
          <w:sz w:val="24"/>
          <w:szCs w:val="24"/>
        </w:rPr>
        <w:t>outh Electric Co</w:t>
      </w:r>
      <w:r w:rsidR="00BB5489">
        <w:rPr>
          <w:rFonts w:eastAsia="PMingLiU"/>
          <w:sz w:val="24"/>
          <w:szCs w:val="24"/>
        </w:rPr>
        <w:t>o</w:t>
      </w:r>
      <w:r w:rsidRPr="00D31883">
        <w:rPr>
          <w:rFonts w:eastAsia="PMingLiU"/>
          <w:sz w:val="24"/>
          <w:szCs w:val="24"/>
        </w:rPr>
        <w:t>p</w:t>
      </w:r>
      <w:r w:rsidR="00EE540D">
        <w:rPr>
          <w:rFonts w:eastAsia="PMingLiU"/>
          <w:sz w:val="24"/>
          <w:szCs w:val="24"/>
        </w:rPr>
        <w:t>.</w:t>
      </w:r>
      <w:r w:rsidR="00A02672">
        <w:rPr>
          <w:rFonts w:eastAsia="PMingLiU"/>
          <w:sz w:val="24"/>
          <w:szCs w:val="24"/>
        </w:rPr>
        <w:t xml:space="preserve"> </w:t>
      </w:r>
      <w:r w:rsidR="002F5636">
        <w:rPr>
          <w:rFonts w:eastAsia="PMingLiU"/>
          <w:sz w:val="24"/>
          <w:szCs w:val="24"/>
        </w:rPr>
        <w:t xml:space="preserve"> </w:t>
      </w:r>
      <w:r w:rsidR="00A02672">
        <w:rPr>
          <w:rFonts w:eastAsia="PMingLiU"/>
          <w:sz w:val="24"/>
          <w:szCs w:val="24"/>
        </w:rPr>
        <w:t>The agreement is signed by the same individual on behalf of both MSEC WW and Mid-South Electric Coop.</w:t>
      </w:r>
      <w:r w:rsidR="00A02672">
        <w:rPr>
          <w:rStyle w:val="FootnoteReference"/>
          <w:rFonts w:eastAsia="PMingLiU"/>
          <w:sz w:val="24"/>
          <w:szCs w:val="24"/>
        </w:rPr>
        <w:footnoteReference w:id="4"/>
      </w:r>
      <w:r w:rsidR="00A02672">
        <w:rPr>
          <w:rFonts w:eastAsia="PMingLiU"/>
          <w:sz w:val="24"/>
          <w:szCs w:val="24"/>
        </w:rPr>
        <w:t xml:space="preserve"> </w:t>
      </w:r>
      <w:r w:rsidRPr="00D31883">
        <w:rPr>
          <w:rFonts w:eastAsia="PMingLiU"/>
          <w:sz w:val="24"/>
          <w:szCs w:val="24"/>
        </w:rPr>
        <w:t xml:space="preserve"> </w:t>
      </w:r>
      <w:r w:rsidR="00A02672">
        <w:rPr>
          <w:rFonts w:eastAsia="PMingLiU"/>
          <w:sz w:val="24"/>
          <w:szCs w:val="24"/>
        </w:rPr>
        <w:t>Under the agreement</w:t>
      </w:r>
      <w:r w:rsidR="008B436A">
        <w:rPr>
          <w:rFonts w:eastAsia="PMingLiU"/>
          <w:sz w:val="24"/>
          <w:szCs w:val="24"/>
        </w:rPr>
        <w:t>,</w:t>
      </w:r>
      <w:r w:rsidR="00A02672">
        <w:rPr>
          <w:rFonts w:eastAsia="PMingLiU"/>
          <w:sz w:val="24"/>
          <w:szCs w:val="24"/>
        </w:rPr>
        <w:t xml:space="preserve"> </w:t>
      </w:r>
      <w:r w:rsidR="00D70769" w:rsidRPr="00D31883">
        <w:rPr>
          <w:rFonts w:eastAsia="PMingLiU"/>
          <w:sz w:val="24"/>
          <w:szCs w:val="24"/>
        </w:rPr>
        <w:t>M</w:t>
      </w:r>
      <w:r w:rsidR="00EE540D">
        <w:rPr>
          <w:rFonts w:eastAsia="PMingLiU"/>
          <w:sz w:val="24"/>
          <w:szCs w:val="24"/>
        </w:rPr>
        <w:t>id-South Electric Coop</w:t>
      </w:r>
      <w:r w:rsidR="00D70769" w:rsidRPr="00D31883">
        <w:rPr>
          <w:rFonts w:eastAsia="PMingLiU"/>
          <w:sz w:val="24"/>
          <w:szCs w:val="24"/>
        </w:rPr>
        <w:t xml:space="preserve"> provides a variety of goods and services to MSEC WW including Administrative Services; Customer Service and Billing Customer Accounts; Transportation Service; Office Space and Equipment; and Goods, Tools, Equipment, and Supplies.</w:t>
      </w:r>
      <w:r w:rsidR="005448E4">
        <w:rPr>
          <w:rStyle w:val="FootnoteReference"/>
          <w:rFonts w:eastAsia="PMingLiU"/>
          <w:sz w:val="24"/>
          <w:szCs w:val="24"/>
        </w:rPr>
        <w:footnoteReference w:id="5"/>
      </w:r>
      <w:r w:rsidR="00D70769" w:rsidRPr="00D31883">
        <w:rPr>
          <w:rFonts w:eastAsia="PMingLiU"/>
          <w:sz w:val="24"/>
          <w:szCs w:val="24"/>
        </w:rPr>
        <w:t xml:space="preserve">  </w:t>
      </w:r>
    </w:p>
    <w:p w14:paraId="5C0B933B" w14:textId="77777777" w:rsidR="008B436A" w:rsidRDefault="008B436A" w:rsidP="00D31883">
      <w:pPr>
        <w:widowControl w:val="0"/>
        <w:autoSpaceDE w:val="0"/>
        <w:autoSpaceDN w:val="0"/>
        <w:adjustRightInd w:val="0"/>
        <w:jc w:val="both"/>
        <w:rPr>
          <w:rFonts w:eastAsia="PMingLiU"/>
          <w:sz w:val="24"/>
          <w:szCs w:val="24"/>
        </w:rPr>
      </w:pPr>
    </w:p>
    <w:p w14:paraId="5499FDFA" w14:textId="2DC8F8CA" w:rsidR="00142ECD" w:rsidRPr="001228F1" w:rsidRDefault="00D70769" w:rsidP="00D31883">
      <w:pPr>
        <w:widowControl w:val="0"/>
        <w:autoSpaceDE w:val="0"/>
        <w:autoSpaceDN w:val="0"/>
        <w:adjustRightInd w:val="0"/>
        <w:jc w:val="both"/>
        <w:rPr>
          <w:rFonts w:eastAsia="Calibri"/>
          <w:sz w:val="24"/>
          <w:szCs w:val="24"/>
        </w:rPr>
      </w:pPr>
      <w:r w:rsidRPr="00D31883">
        <w:rPr>
          <w:rFonts w:eastAsia="PMingLiU"/>
          <w:sz w:val="24"/>
          <w:szCs w:val="24"/>
        </w:rPr>
        <w:t xml:space="preserve">Based on the </w:t>
      </w:r>
      <w:r w:rsidR="00863058">
        <w:rPr>
          <w:rFonts w:eastAsia="PMingLiU"/>
          <w:sz w:val="24"/>
          <w:szCs w:val="24"/>
        </w:rPr>
        <w:t>administrative law judge’s (</w:t>
      </w:r>
      <w:r w:rsidRPr="00D31883">
        <w:rPr>
          <w:rFonts w:eastAsia="PMingLiU"/>
          <w:sz w:val="24"/>
          <w:szCs w:val="24"/>
        </w:rPr>
        <w:t>ALJ</w:t>
      </w:r>
      <w:r w:rsidR="00863058">
        <w:rPr>
          <w:rFonts w:eastAsia="PMingLiU"/>
          <w:sz w:val="24"/>
          <w:szCs w:val="24"/>
        </w:rPr>
        <w:t>)</w:t>
      </w:r>
      <w:r w:rsidRPr="00D31883">
        <w:rPr>
          <w:rFonts w:eastAsia="PMingLiU"/>
          <w:sz w:val="24"/>
          <w:szCs w:val="24"/>
        </w:rPr>
        <w:t xml:space="preserve"> </w:t>
      </w:r>
      <w:r w:rsidR="00A07DF3" w:rsidRPr="00D31883">
        <w:rPr>
          <w:rFonts w:eastAsia="PMingLiU"/>
          <w:sz w:val="24"/>
          <w:szCs w:val="24"/>
        </w:rPr>
        <w:t>ruling in Order No. 8 in this proceeding</w:t>
      </w:r>
      <w:r w:rsidR="001228F1">
        <w:rPr>
          <w:rFonts w:eastAsia="PMingLiU"/>
          <w:sz w:val="24"/>
          <w:szCs w:val="24"/>
        </w:rPr>
        <w:t xml:space="preserve"> relating to Staff’s assertion that information concerning the nature of MSEC WW’s ownership, organizational structure, and governance </w:t>
      </w:r>
      <w:r w:rsidR="008B436A">
        <w:rPr>
          <w:rFonts w:eastAsia="PMingLiU"/>
          <w:sz w:val="24"/>
          <w:szCs w:val="24"/>
        </w:rPr>
        <w:t>(</w:t>
      </w:r>
      <w:r w:rsidR="001228F1">
        <w:rPr>
          <w:rFonts w:eastAsia="PMingLiU"/>
          <w:sz w:val="24"/>
          <w:szCs w:val="24"/>
        </w:rPr>
        <w:t>including board members, executives, employees, and relevant service agreements</w:t>
      </w:r>
      <w:r w:rsidR="008B436A">
        <w:rPr>
          <w:rFonts w:eastAsia="PMingLiU"/>
          <w:sz w:val="24"/>
          <w:szCs w:val="24"/>
        </w:rPr>
        <w:t>)</w:t>
      </w:r>
      <w:r w:rsidR="001228F1">
        <w:rPr>
          <w:rFonts w:eastAsia="PMingLiU"/>
          <w:sz w:val="24"/>
          <w:szCs w:val="24"/>
        </w:rPr>
        <w:t xml:space="preserve"> were necessary to make a determination regarding the appropriate utility classification of MSEC WW</w:t>
      </w:r>
      <w:r w:rsidR="00863058">
        <w:rPr>
          <w:rFonts w:eastAsia="PMingLiU"/>
          <w:sz w:val="24"/>
          <w:szCs w:val="24"/>
        </w:rPr>
        <w:t>,</w:t>
      </w:r>
      <w:r w:rsidR="001228F1">
        <w:rPr>
          <w:rFonts w:eastAsia="PMingLiU"/>
          <w:sz w:val="24"/>
          <w:szCs w:val="24"/>
        </w:rPr>
        <w:t xml:space="preserve"> and the determination that MSEC’s application be evaluated as a Class D utility, the </w:t>
      </w:r>
      <w:r w:rsidR="00615212">
        <w:rPr>
          <w:rFonts w:eastAsia="PMingLiU"/>
          <w:sz w:val="24"/>
          <w:szCs w:val="24"/>
        </w:rPr>
        <w:t>requested affiliate expenses meet the requirements of TWC § 13.</w:t>
      </w:r>
      <w:r w:rsidR="00863058">
        <w:rPr>
          <w:rFonts w:eastAsia="PMingLiU"/>
          <w:sz w:val="24"/>
          <w:szCs w:val="24"/>
        </w:rPr>
        <w:t>1</w:t>
      </w:r>
      <w:r w:rsidR="00615212">
        <w:rPr>
          <w:rFonts w:eastAsia="PMingLiU"/>
          <w:sz w:val="24"/>
          <w:szCs w:val="24"/>
        </w:rPr>
        <w:t>85(e).</w:t>
      </w:r>
      <w:r w:rsidR="009F1216">
        <w:rPr>
          <w:rStyle w:val="FootnoteReference"/>
          <w:rFonts w:eastAsia="PMingLiU"/>
          <w:sz w:val="24"/>
          <w:szCs w:val="24"/>
        </w:rPr>
        <w:footnoteReference w:id="6"/>
      </w:r>
      <w:r w:rsidR="00615212">
        <w:rPr>
          <w:rFonts w:eastAsia="PMingLiU"/>
          <w:sz w:val="24"/>
          <w:szCs w:val="24"/>
        </w:rPr>
        <w:t xml:space="preserve">  Additionally, MSEC</w:t>
      </w:r>
      <w:r w:rsidR="001651AA">
        <w:rPr>
          <w:rFonts w:eastAsia="PMingLiU"/>
          <w:sz w:val="24"/>
          <w:szCs w:val="24"/>
        </w:rPr>
        <w:t xml:space="preserve"> WW</w:t>
      </w:r>
      <w:r w:rsidR="00615212">
        <w:rPr>
          <w:rFonts w:eastAsia="PMingLiU"/>
          <w:sz w:val="24"/>
          <w:szCs w:val="24"/>
        </w:rPr>
        <w:t xml:space="preserve"> provided the affidavit of Andrew Dallmeyer, Secretary-Treasurer, ensuring that it complies with the standards of TWC § 13.85(e).</w:t>
      </w:r>
      <w:r w:rsidR="00252A35">
        <w:rPr>
          <w:rStyle w:val="FootnoteReference"/>
          <w:rFonts w:eastAsia="PMingLiU"/>
          <w:sz w:val="24"/>
          <w:szCs w:val="24"/>
        </w:rPr>
        <w:footnoteReference w:id="7"/>
      </w:r>
      <w:r w:rsidR="00615212">
        <w:rPr>
          <w:rFonts w:eastAsia="PMingLiU"/>
          <w:sz w:val="24"/>
          <w:szCs w:val="24"/>
        </w:rPr>
        <w:t xml:space="preserve">  Therefore, I </w:t>
      </w:r>
      <w:r w:rsidR="00A02672">
        <w:rPr>
          <w:rFonts w:eastAsia="PMingLiU"/>
          <w:sz w:val="24"/>
          <w:szCs w:val="24"/>
        </w:rPr>
        <w:t xml:space="preserve">have </w:t>
      </w:r>
      <w:r w:rsidR="00615212">
        <w:rPr>
          <w:rFonts w:eastAsia="PMingLiU"/>
          <w:sz w:val="24"/>
          <w:szCs w:val="24"/>
        </w:rPr>
        <w:t>determined that the affiliate expenses included in MSEC</w:t>
      </w:r>
      <w:r w:rsidR="001651AA">
        <w:rPr>
          <w:rFonts w:eastAsia="PMingLiU"/>
          <w:sz w:val="24"/>
          <w:szCs w:val="24"/>
        </w:rPr>
        <w:t xml:space="preserve"> WW</w:t>
      </w:r>
      <w:r w:rsidR="00D31883">
        <w:rPr>
          <w:rFonts w:eastAsia="PMingLiU"/>
          <w:sz w:val="24"/>
          <w:szCs w:val="24"/>
        </w:rPr>
        <w:t>’s revenue requirement meet the “no higher than” standard and</w:t>
      </w:r>
      <w:r w:rsidR="00615212">
        <w:rPr>
          <w:rFonts w:eastAsia="PMingLiU"/>
          <w:sz w:val="24"/>
          <w:szCs w:val="24"/>
        </w:rPr>
        <w:t xml:space="preserve"> are reasonable and necessary for the provision of wastewater service.</w:t>
      </w:r>
      <w:r w:rsidR="00BB5489">
        <w:rPr>
          <w:rFonts w:eastAsia="PMingLiU"/>
          <w:sz w:val="24"/>
          <w:szCs w:val="24"/>
        </w:rPr>
        <w:t xml:space="preserve">  </w:t>
      </w:r>
    </w:p>
    <w:p w14:paraId="624B6444" w14:textId="77777777" w:rsidR="004D667D" w:rsidRPr="004C2D2A" w:rsidRDefault="004D667D" w:rsidP="00080E35">
      <w:pPr>
        <w:keepNext/>
        <w:jc w:val="both"/>
        <w:rPr>
          <w:rFonts w:eastAsia="Calibri"/>
          <w:sz w:val="24"/>
          <w:szCs w:val="24"/>
        </w:rPr>
      </w:pPr>
    </w:p>
    <w:p w14:paraId="4491F462" w14:textId="01873A54" w:rsidR="00080E35" w:rsidRDefault="00080E35" w:rsidP="00080E35">
      <w:pPr>
        <w:keepNext/>
        <w:jc w:val="both"/>
        <w:rPr>
          <w:rFonts w:eastAsia="Calibri"/>
          <w:sz w:val="24"/>
          <w:szCs w:val="24"/>
        </w:rPr>
      </w:pPr>
      <w:r>
        <w:rPr>
          <w:rFonts w:eastAsia="Calibri"/>
          <w:sz w:val="24"/>
          <w:szCs w:val="24"/>
        </w:rPr>
        <w:t>Using the information</w:t>
      </w:r>
      <w:r w:rsidR="00184C1F">
        <w:rPr>
          <w:rFonts w:eastAsia="Calibri"/>
          <w:sz w:val="24"/>
          <w:szCs w:val="24"/>
        </w:rPr>
        <w:t xml:space="preserve"> submitted</w:t>
      </w:r>
      <w:r>
        <w:rPr>
          <w:rFonts w:eastAsia="Calibri"/>
          <w:sz w:val="24"/>
          <w:szCs w:val="24"/>
        </w:rPr>
        <w:t xml:space="preserve"> in the application and provided in response to discovery, my calculation of the revenue requirement was only $</w:t>
      </w:r>
      <w:r w:rsidR="00B62D04">
        <w:rPr>
          <w:rFonts w:eastAsia="Calibri"/>
          <w:sz w:val="24"/>
          <w:szCs w:val="24"/>
        </w:rPr>
        <w:t>140</w:t>
      </w:r>
      <w:r>
        <w:rPr>
          <w:rFonts w:eastAsia="Calibri"/>
          <w:sz w:val="24"/>
          <w:szCs w:val="24"/>
        </w:rPr>
        <w:t xml:space="preserve"> higher than </w:t>
      </w:r>
      <w:r w:rsidR="00B62D04">
        <w:rPr>
          <w:rFonts w:eastAsia="Calibri"/>
          <w:sz w:val="24"/>
          <w:szCs w:val="24"/>
        </w:rPr>
        <w:t>MSEC WW</w:t>
      </w:r>
      <w:r>
        <w:rPr>
          <w:rFonts w:eastAsia="Calibri"/>
          <w:sz w:val="24"/>
          <w:szCs w:val="24"/>
        </w:rPr>
        <w:t>’s request</w:t>
      </w:r>
      <w:r w:rsidR="004D667D">
        <w:rPr>
          <w:rFonts w:eastAsia="Calibri"/>
          <w:sz w:val="24"/>
          <w:szCs w:val="24"/>
        </w:rPr>
        <w:t xml:space="preserve"> of</w:t>
      </w:r>
      <w:r>
        <w:rPr>
          <w:rFonts w:eastAsia="Calibri"/>
          <w:sz w:val="24"/>
          <w:szCs w:val="24"/>
        </w:rPr>
        <w:t xml:space="preserve"> $</w:t>
      </w:r>
      <w:r w:rsidR="00523E86">
        <w:rPr>
          <w:rFonts w:eastAsia="Calibri"/>
          <w:sz w:val="24"/>
          <w:szCs w:val="24"/>
        </w:rPr>
        <w:t>3</w:t>
      </w:r>
      <w:r w:rsidR="00924E54">
        <w:rPr>
          <w:rFonts w:eastAsia="Calibri"/>
          <w:sz w:val="24"/>
          <w:szCs w:val="24"/>
        </w:rPr>
        <w:t>77,104</w:t>
      </w:r>
      <w:r>
        <w:rPr>
          <w:rFonts w:eastAsia="Calibri"/>
          <w:sz w:val="24"/>
          <w:szCs w:val="24"/>
        </w:rPr>
        <w:t xml:space="preserve">. </w:t>
      </w:r>
      <w:r w:rsidR="00184C1F">
        <w:rPr>
          <w:rFonts w:eastAsia="Calibri"/>
          <w:sz w:val="24"/>
          <w:szCs w:val="24"/>
        </w:rPr>
        <w:t xml:space="preserve"> </w:t>
      </w:r>
      <w:r>
        <w:rPr>
          <w:rFonts w:eastAsia="Calibri"/>
          <w:sz w:val="24"/>
          <w:szCs w:val="24"/>
        </w:rPr>
        <w:t xml:space="preserve">Therefore, I believe that </w:t>
      </w:r>
      <w:r w:rsidR="00B62D04">
        <w:rPr>
          <w:rFonts w:eastAsia="Calibri"/>
          <w:sz w:val="24"/>
          <w:szCs w:val="24"/>
        </w:rPr>
        <w:t>MSEC WW</w:t>
      </w:r>
      <w:r>
        <w:rPr>
          <w:rFonts w:eastAsia="Calibri"/>
          <w:sz w:val="24"/>
          <w:szCs w:val="24"/>
        </w:rPr>
        <w:t xml:space="preserve">’s requested cost of service is reasonable.  In addition, Emily Sears, </w:t>
      </w:r>
      <w:r w:rsidR="007F0267">
        <w:rPr>
          <w:rFonts w:eastAsia="Calibri"/>
          <w:sz w:val="24"/>
          <w:szCs w:val="24"/>
        </w:rPr>
        <w:t xml:space="preserve">Financial Analyst in the </w:t>
      </w:r>
      <w:r>
        <w:rPr>
          <w:rFonts w:eastAsia="Calibri"/>
          <w:sz w:val="24"/>
          <w:szCs w:val="24"/>
        </w:rPr>
        <w:t xml:space="preserve">Rate Regulation Division, calculated the same overall rate of return as requested by </w:t>
      </w:r>
      <w:r w:rsidR="00B62D04">
        <w:rPr>
          <w:rFonts w:eastAsia="Calibri"/>
          <w:sz w:val="24"/>
          <w:szCs w:val="24"/>
        </w:rPr>
        <w:t>MSEC WW</w:t>
      </w:r>
      <w:r>
        <w:rPr>
          <w:rFonts w:eastAsia="Calibri"/>
          <w:sz w:val="24"/>
          <w:szCs w:val="24"/>
        </w:rPr>
        <w:t xml:space="preserve">, or </w:t>
      </w:r>
      <w:r w:rsidR="00B62D04">
        <w:rPr>
          <w:rFonts w:eastAsia="Calibri"/>
          <w:sz w:val="24"/>
          <w:szCs w:val="24"/>
        </w:rPr>
        <w:t>4.74</w:t>
      </w:r>
      <w:r>
        <w:rPr>
          <w:rFonts w:eastAsia="Calibri"/>
          <w:sz w:val="24"/>
          <w:szCs w:val="24"/>
        </w:rPr>
        <w:t>%.  I</w:t>
      </w:r>
      <w:r w:rsidR="007F0267">
        <w:rPr>
          <w:rFonts w:eastAsia="Calibri"/>
          <w:sz w:val="24"/>
          <w:szCs w:val="24"/>
        </w:rPr>
        <w:t xml:space="preserve">t is my opinion </w:t>
      </w:r>
      <w:r w:rsidRPr="003524C1">
        <w:rPr>
          <w:rFonts w:eastAsia="Calibri"/>
          <w:sz w:val="24"/>
          <w:szCs w:val="24"/>
        </w:rPr>
        <w:t xml:space="preserve">that </w:t>
      </w:r>
      <w:r w:rsidR="00B62D04">
        <w:rPr>
          <w:rFonts w:eastAsia="Calibri"/>
          <w:sz w:val="24"/>
          <w:szCs w:val="24"/>
        </w:rPr>
        <w:t>MSEC WW</w:t>
      </w:r>
      <w:r w:rsidRPr="003524C1">
        <w:rPr>
          <w:rFonts w:eastAsia="Calibri"/>
          <w:sz w:val="24"/>
          <w:szCs w:val="24"/>
        </w:rPr>
        <w:t xml:space="preserve">’s </w:t>
      </w:r>
      <w:r>
        <w:rPr>
          <w:rFonts w:eastAsia="Calibri"/>
          <w:sz w:val="24"/>
          <w:szCs w:val="24"/>
        </w:rPr>
        <w:t xml:space="preserve">revenue requirement and </w:t>
      </w:r>
      <w:r w:rsidRPr="003524C1">
        <w:rPr>
          <w:rFonts w:eastAsia="Calibri"/>
          <w:sz w:val="24"/>
          <w:szCs w:val="24"/>
        </w:rPr>
        <w:t xml:space="preserve">proposed rates reasonably </w:t>
      </w:r>
      <w:r>
        <w:rPr>
          <w:rFonts w:eastAsia="Calibri"/>
          <w:sz w:val="24"/>
          <w:szCs w:val="24"/>
        </w:rPr>
        <w:t>re</w:t>
      </w:r>
      <w:r w:rsidRPr="003524C1">
        <w:rPr>
          <w:rFonts w:eastAsia="Calibri"/>
          <w:sz w:val="24"/>
          <w:szCs w:val="24"/>
        </w:rPr>
        <w:t xml:space="preserve">cover </w:t>
      </w:r>
      <w:r>
        <w:rPr>
          <w:rFonts w:eastAsia="Calibri"/>
          <w:sz w:val="24"/>
          <w:szCs w:val="24"/>
        </w:rPr>
        <w:t>its</w:t>
      </w:r>
      <w:r w:rsidRPr="003524C1">
        <w:rPr>
          <w:rFonts w:eastAsia="Calibri"/>
          <w:sz w:val="24"/>
          <w:szCs w:val="24"/>
        </w:rPr>
        <w:t xml:space="preserve"> cost of service</w:t>
      </w:r>
      <w:r>
        <w:rPr>
          <w:rFonts w:eastAsia="Calibri"/>
          <w:sz w:val="24"/>
          <w:szCs w:val="24"/>
        </w:rPr>
        <w:t xml:space="preserve">, will allow </w:t>
      </w:r>
      <w:r w:rsidR="00B62D04">
        <w:rPr>
          <w:rFonts w:eastAsia="Calibri"/>
          <w:sz w:val="24"/>
          <w:szCs w:val="24"/>
        </w:rPr>
        <w:t>MSEC WW</w:t>
      </w:r>
      <w:r>
        <w:rPr>
          <w:rFonts w:eastAsia="Calibri"/>
          <w:sz w:val="24"/>
          <w:szCs w:val="24"/>
        </w:rPr>
        <w:t xml:space="preserve"> to earn a reasonable return on its invested capital, and will protect </w:t>
      </w:r>
      <w:r w:rsidR="00B62D04">
        <w:rPr>
          <w:rFonts w:eastAsia="Calibri"/>
          <w:sz w:val="24"/>
          <w:szCs w:val="24"/>
        </w:rPr>
        <w:t>MSEC WW</w:t>
      </w:r>
      <w:r>
        <w:rPr>
          <w:rFonts w:eastAsia="Calibri"/>
          <w:sz w:val="24"/>
          <w:szCs w:val="24"/>
        </w:rPr>
        <w:t xml:space="preserve">’s financial </w:t>
      </w:r>
      <w:r>
        <w:rPr>
          <w:rFonts w:eastAsia="Calibri"/>
          <w:sz w:val="24"/>
          <w:szCs w:val="24"/>
        </w:rPr>
        <w:lastRenderedPageBreak/>
        <w:t>integrity</w:t>
      </w:r>
      <w:r w:rsidRPr="003524C1">
        <w:rPr>
          <w:rFonts w:eastAsia="Calibri"/>
          <w:sz w:val="24"/>
          <w:szCs w:val="24"/>
        </w:rPr>
        <w:t xml:space="preserve">.  </w:t>
      </w:r>
      <w:r>
        <w:rPr>
          <w:rFonts w:eastAsia="Calibri"/>
          <w:sz w:val="24"/>
          <w:szCs w:val="24"/>
        </w:rPr>
        <w:t>I</w:t>
      </w:r>
      <w:r w:rsidRPr="003524C1">
        <w:rPr>
          <w:rFonts w:eastAsia="Calibri"/>
          <w:sz w:val="24"/>
          <w:szCs w:val="24"/>
        </w:rPr>
        <w:t xml:space="preserve"> recommend that the Commission approve the </w:t>
      </w:r>
      <w:r>
        <w:rPr>
          <w:rFonts w:eastAsia="Calibri"/>
          <w:sz w:val="24"/>
          <w:szCs w:val="24"/>
        </w:rPr>
        <w:t>revenue requirement</w:t>
      </w:r>
      <w:r w:rsidRPr="003524C1">
        <w:rPr>
          <w:rFonts w:eastAsia="Calibri"/>
          <w:sz w:val="24"/>
          <w:szCs w:val="24"/>
        </w:rPr>
        <w:t xml:space="preserve"> as requested in the application.</w:t>
      </w:r>
    </w:p>
    <w:p w14:paraId="42C2F2BC" w14:textId="746F2DB4" w:rsidR="00AC07B8" w:rsidRDefault="00AC07B8" w:rsidP="00080E35">
      <w:pPr>
        <w:keepNext/>
        <w:jc w:val="both"/>
        <w:rPr>
          <w:rFonts w:eastAsia="Calibri"/>
          <w:sz w:val="24"/>
          <w:szCs w:val="24"/>
        </w:rPr>
      </w:pPr>
    </w:p>
    <w:p w14:paraId="6839549D" w14:textId="31A9298C" w:rsidR="00AC07B8" w:rsidRPr="003524C1" w:rsidRDefault="00AC07B8" w:rsidP="00080E35">
      <w:pPr>
        <w:keepNext/>
        <w:jc w:val="both"/>
        <w:rPr>
          <w:rFonts w:eastAsia="Calibri"/>
          <w:sz w:val="24"/>
          <w:szCs w:val="24"/>
          <w:highlight w:val="yellow"/>
        </w:rPr>
      </w:pPr>
      <w:r>
        <w:rPr>
          <w:rFonts w:eastAsia="Calibri"/>
          <w:sz w:val="24"/>
          <w:szCs w:val="24"/>
        </w:rPr>
        <w:t>MSEC WW requests recover</w:t>
      </w:r>
      <w:r w:rsidR="001C4A9C">
        <w:rPr>
          <w:rFonts w:eastAsia="Calibri"/>
          <w:sz w:val="24"/>
          <w:szCs w:val="24"/>
        </w:rPr>
        <w:t>y</w:t>
      </w:r>
      <w:r>
        <w:rPr>
          <w:rFonts w:eastAsia="Calibri"/>
          <w:sz w:val="24"/>
          <w:szCs w:val="24"/>
        </w:rPr>
        <w:t xml:space="preserve"> of rate-case expenses in the amount of $</w:t>
      </w:r>
      <w:r w:rsidR="00E93AB3">
        <w:rPr>
          <w:rFonts w:eastAsia="Calibri"/>
          <w:sz w:val="24"/>
          <w:szCs w:val="24"/>
        </w:rPr>
        <w:t>81,694.14</w:t>
      </w:r>
      <w:r>
        <w:rPr>
          <w:rFonts w:eastAsia="Calibri"/>
          <w:sz w:val="24"/>
          <w:szCs w:val="24"/>
        </w:rPr>
        <w:t>.</w:t>
      </w:r>
      <w:r w:rsidR="001C4A9C">
        <w:rPr>
          <w:rStyle w:val="FootnoteReference"/>
          <w:rFonts w:eastAsia="Calibri"/>
          <w:sz w:val="24"/>
          <w:szCs w:val="24"/>
        </w:rPr>
        <w:footnoteReference w:id="8"/>
      </w:r>
      <w:r w:rsidR="00E93AB3">
        <w:rPr>
          <w:rFonts w:eastAsia="Calibri"/>
          <w:sz w:val="24"/>
          <w:szCs w:val="24"/>
        </w:rPr>
        <w:t xml:space="preserve">  This amount</w:t>
      </w:r>
      <w:r w:rsidR="003429DF">
        <w:rPr>
          <w:rFonts w:eastAsia="Calibri"/>
          <w:sz w:val="24"/>
          <w:szCs w:val="24"/>
        </w:rPr>
        <w:t xml:space="preserve"> consists of legal fees, consulting fees, and other expenses related to rate-case expenses through March 2021.</w:t>
      </w:r>
      <w:r>
        <w:rPr>
          <w:rFonts w:eastAsia="Calibri"/>
          <w:sz w:val="24"/>
          <w:szCs w:val="24"/>
        </w:rPr>
        <w:t xml:space="preserve">  MSEC WW calculates a monthly surcharge equal to $</w:t>
      </w:r>
      <w:r w:rsidR="003429DF">
        <w:rPr>
          <w:rFonts w:eastAsia="Calibri"/>
          <w:sz w:val="24"/>
          <w:szCs w:val="24"/>
        </w:rPr>
        <w:t xml:space="preserve">6.34 per month per meter equivalent </w:t>
      </w:r>
      <w:r>
        <w:rPr>
          <w:rFonts w:eastAsia="Calibri"/>
          <w:sz w:val="24"/>
          <w:szCs w:val="24"/>
        </w:rPr>
        <w:t xml:space="preserve">based on </w:t>
      </w:r>
      <w:proofErr w:type="gramStart"/>
      <w:r>
        <w:rPr>
          <w:rFonts w:eastAsia="Calibri"/>
          <w:sz w:val="24"/>
          <w:szCs w:val="24"/>
        </w:rPr>
        <w:t>5</w:t>
      </w:r>
      <w:r w:rsidR="001C4A9C">
        <w:rPr>
          <w:rFonts w:eastAsia="Calibri"/>
          <w:sz w:val="24"/>
          <w:szCs w:val="24"/>
        </w:rPr>
        <w:t>37</w:t>
      </w:r>
      <w:r w:rsidR="00F243B0">
        <w:rPr>
          <w:rFonts w:eastAsia="Calibri"/>
          <w:sz w:val="24"/>
          <w:szCs w:val="24"/>
        </w:rPr>
        <w:t xml:space="preserve"> </w:t>
      </w:r>
      <w:r>
        <w:rPr>
          <w:rFonts w:eastAsia="Calibri"/>
          <w:sz w:val="24"/>
          <w:szCs w:val="24"/>
        </w:rPr>
        <w:t>meter</w:t>
      </w:r>
      <w:proofErr w:type="gramEnd"/>
      <w:r>
        <w:rPr>
          <w:rFonts w:eastAsia="Calibri"/>
          <w:sz w:val="24"/>
          <w:szCs w:val="24"/>
        </w:rPr>
        <w:t xml:space="preserve"> equivalents and a 24-month recovery period.  Based on my review of the rate-case expense documentation </w:t>
      </w:r>
      <w:r w:rsidR="00B97635">
        <w:rPr>
          <w:rFonts w:eastAsia="Calibri"/>
          <w:sz w:val="24"/>
          <w:szCs w:val="24"/>
        </w:rPr>
        <w:t xml:space="preserve">provided in the application </w:t>
      </w:r>
      <w:r>
        <w:rPr>
          <w:rFonts w:eastAsia="Calibri"/>
          <w:sz w:val="24"/>
          <w:szCs w:val="24"/>
        </w:rPr>
        <w:t xml:space="preserve">and the standards of 16 TAC § 24.25, I </w:t>
      </w:r>
      <w:r w:rsidR="00CD257A">
        <w:rPr>
          <w:rFonts w:eastAsia="Calibri"/>
          <w:sz w:val="24"/>
          <w:szCs w:val="24"/>
        </w:rPr>
        <w:t>recommend approval of</w:t>
      </w:r>
      <w:r w:rsidR="00FB2E30">
        <w:rPr>
          <w:rFonts w:eastAsia="Calibri"/>
          <w:sz w:val="24"/>
          <w:szCs w:val="24"/>
        </w:rPr>
        <w:t xml:space="preserve"> </w:t>
      </w:r>
      <w:r>
        <w:rPr>
          <w:rFonts w:eastAsia="Calibri"/>
          <w:sz w:val="24"/>
          <w:szCs w:val="24"/>
        </w:rPr>
        <w:t>MSEC WW’s requested rate-case expense recovery.</w:t>
      </w:r>
    </w:p>
    <w:p w14:paraId="2E592041" w14:textId="77777777" w:rsidR="00080E35" w:rsidRPr="00FD492F" w:rsidRDefault="00080E35" w:rsidP="00080E35">
      <w:pPr>
        <w:tabs>
          <w:tab w:val="left" w:pos="0"/>
        </w:tabs>
        <w:jc w:val="both"/>
        <w:rPr>
          <w:rFonts w:eastAsiaTheme="minorHAnsi"/>
          <w:b/>
          <w:sz w:val="24"/>
          <w:szCs w:val="24"/>
          <w:u w:val="single"/>
        </w:rPr>
      </w:pPr>
    </w:p>
    <w:p w14:paraId="2C37307C" w14:textId="77777777" w:rsidR="00080E35" w:rsidRPr="00FD492F" w:rsidRDefault="00080E35" w:rsidP="00080E35">
      <w:pPr>
        <w:jc w:val="both"/>
        <w:rPr>
          <w:rFonts w:eastAsiaTheme="minorHAnsi"/>
          <w:b/>
          <w:sz w:val="24"/>
          <w:szCs w:val="24"/>
          <w:u w:val="single"/>
        </w:rPr>
      </w:pPr>
      <w:r w:rsidRPr="00FD492F">
        <w:rPr>
          <w:rFonts w:eastAsiaTheme="minorHAnsi"/>
          <w:b/>
          <w:sz w:val="24"/>
          <w:szCs w:val="24"/>
          <w:u w:val="single"/>
        </w:rPr>
        <w:t>Conclusion</w:t>
      </w:r>
    </w:p>
    <w:p w14:paraId="5C4BDAD7" w14:textId="77777777" w:rsidR="00080E35" w:rsidRPr="00FD492F" w:rsidRDefault="00080E35" w:rsidP="00080E35">
      <w:pPr>
        <w:jc w:val="both"/>
        <w:rPr>
          <w:rFonts w:eastAsiaTheme="minorHAnsi"/>
          <w:sz w:val="24"/>
          <w:szCs w:val="24"/>
        </w:rPr>
      </w:pPr>
      <w:r w:rsidRPr="00FD492F">
        <w:rPr>
          <w:rFonts w:eastAsiaTheme="minorHAnsi"/>
          <w:sz w:val="24"/>
          <w:szCs w:val="24"/>
        </w:rPr>
        <w:t xml:space="preserve">Based on </w:t>
      </w:r>
      <w:r>
        <w:rPr>
          <w:rFonts w:eastAsiaTheme="minorHAnsi"/>
          <w:sz w:val="24"/>
          <w:szCs w:val="24"/>
        </w:rPr>
        <w:t>Staff’s</w:t>
      </w:r>
      <w:r w:rsidRPr="00FD492F">
        <w:rPr>
          <w:rFonts w:eastAsiaTheme="minorHAnsi"/>
          <w:sz w:val="24"/>
          <w:szCs w:val="24"/>
        </w:rPr>
        <w:t xml:space="preserve"> review, </w:t>
      </w:r>
      <w:r>
        <w:rPr>
          <w:rFonts w:eastAsiaTheme="minorHAnsi"/>
          <w:sz w:val="24"/>
          <w:szCs w:val="24"/>
        </w:rPr>
        <w:t>I</w:t>
      </w:r>
      <w:r w:rsidRPr="00FD492F">
        <w:rPr>
          <w:rFonts w:eastAsiaTheme="minorHAnsi"/>
          <w:sz w:val="24"/>
          <w:szCs w:val="24"/>
        </w:rPr>
        <w:t xml:space="preserve"> recommend that the Commission:</w:t>
      </w:r>
    </w:p>
    <w:p w14:paraId="6517431E" w14:textId="10CAD2F3" w:rsidR="00080E35" w:rsidRDefault="00080E35" w:rsidP="00080E35">
      <w:pPr>
        <w:numPr>
          <w:ilvl w:val="0"/>
          <w:numId w:val="8"/>
        </w:numPr>
        <w:contextualSpacing/>
        <w:jc w:val="both"/>
        <w:rPr>
          <w:rFonts w:eastAsiaTheme="minorHAnsi"/>
          <w:sz w:val="24"/>
          <w:szCs w:val="24"/>
        </w:rPr>
      </w:pPr>
      <w:r>
        <w:rPr>
          <w:rFonts w:eastAsiaTheme="minorHAnsi"/>
          <w:sz w:val="24"/>
          <w:szCs w:val="24"/>
        </w:rPr>
        <w:t xml:space="preserve">Approve </w:t>
      </w:r>
      <w:r w:rsidR="00B62D04">
        <w:rPr>
          <w:rFonts w:eastAsiaTheme="minorHAnsi"/>
          <w:sz w:val="24"/>
          <w:szCs w:val="24"/>
        </w:rPr>
        <w:t>MSEC WW</w:t>
      </w:r>
      <w:r>
        <w:rPr>
          <w:rFonts w:eastAsiaTheme="minorHAnsi"/>
          <w:sz w:val="24"/>
          <w:szCs w:val="24"/>
        </w:rPr>
        <w:t xml:space="preserve">’s revenue requirement of </w:t>
      </w:r>
      <w:proofErr w:type="gramStart"/>
      <w:r>
        <w:rPr>
          <w:rFonts w:eastAsiaTheme="minorHAnsi"/>
          <w:sz w:val="24"/>
          <w:szCs w:val="24"/>
        </w:rPr>
        <w:t>$</w:t>
      </w:r>
      <w:r w:rsidR="005D21B7">
        <w:rPr>
          <w:rFonts w:eastAsiaTheme="minorHAnsi"/>
          <w:sz w:val="24"/>
          <w:szCs w:val="24"/>
        </w:rPr>
        <w:t>3</w:t>
      </w:r>
      <w:r w:rsidR="008549C7">
        <w:rPr>
          <w:rFonts w:eastAsiaTheme="minorHAnsi"/>
          <w:sz w:val="24"/>
          <w:szCs w:val="24"/>
        </w:rPr>
        <w:t>77,104</w:t>
      </w:r>
      <w:r w:rsidRPr="00FD492F">
        <w:rPr>
          <w:rFonts w:eastAsiaTheme="minorHAnsi"/>
          <w:sz w:val="24"/>
          <w:szCs w:val="24"/>
        </w:rPr>
        <w:t>;</w:t>
      </w:r>
      <w:proofErr w:type="gramEnd"/>
    </w:p>
    <w:p w14:paraId="500B5BD7" w14:textId="0DB2BAD1" w:rsidR="00B97635" w:rsidRPr="00FD492F" w:rsidRDefault="00B97635" w:rsidP="00080E35">
      <w:pPr>
        <w:numPr>
          <w:ilvl w:val="0"/>
          <w:numId w:val="8"/>
        </w:numPr>
        <w:contextualSpacing/>
        <w:jc w:val="both"/>
        <w:rPr>
          <w:rFonts w:eastAsiaTheme="minorHAnsi"/>
          <w:sz w:val="24"/>
          <w:szCs w:val="24"/>
        </w:rPr>
      </w:pPr>
      <w:r>
        <w:rPr>
          <w:rFonts w:eastAsiaTheme="minorHAnsi"/>
          <w:sz w:val="24"/>
          <w:szCs w:val="24"/>
        </w:rPr>
        <w:t xml:space="preserve">Approve the rate-case expense surcharge as calculated by MSEC </w:t>
      </w:r>
      <w:proofErr w:type="gramStart"/>
      <w:r>
        <w:rPr>
          <w:rFonts w:eastAsiaTheme="minorHAnsi"/>
          <w:sz w:val="24"/>
          <w:szCs w:val="24"/>
        </w:rPr>
        <w:t>WW;</w:t>
      </w:r>
      <w:proofErr w:type="gramEnd"/>
    </w:p>
    <w:p w14:paraId="10CA0316" w14:textId="03501D16" w:rsidR="00080E35" w:rsidRPr="004D667D" w:rsidRDefault="00080E35" w:rsidP="004D667D">
      <w:pPr>
        <w:numPr>
          <w:ilvl w:val="0"/>
          <w:numId w:val="8"/>
        </w:numPr>
        <w:contextualSpacing/>
        <w:jc w:val="both"/>
        <w:rPr>
          <w:rFonts w:eastAsiaTheme="minorHAnsi"/>
          <w:sz w:val="24"/>
          <w:szCs w:val="24"/>
        </w:rPr>
      </w:pPr>
      <w:r w:rsidRPr="00FD492F">
        <w:rPr>
          <w:rFonts w:eastAsiaTheme="minorHAnsi"/>
          <w:sz w:val="24"/>
          <w:szCs w:val="24"/>
        </w:rPr>
        <w:t xml:space="preserve">Approve the rates and the tariff proposed by </w:t>
      </w:r>
      <w:r w:rsidR="0089501E">
        <w:rPr>
          <w:rFonts w:eastAsiaTheme="minorHAnsi"/>
          <w:sz w:val="24"/>
          <w:szCs w:val="24"/>
        </w:rPr>
        <w:t>Stephen Mendoza</w:t>
      </w:r>
      <w:r w:rsidR="00F243B0">
        <w:rPr>
          <w:rFonts w:eastAsiaTheme="minorHAnsi"/>
          <w:sz w:val="24"/>
          <w:szCs w:val="24"/>
        </w:rPr>
        <w:t xml:space="preserve"> </w:t>
      </w:r>
      <w:r>
        <w:rPr>
          <w:rFonts w:eastAsiaTheme="minorHAnsi"/>
          <w:sz w:val="24"/>
          <w:szCs w:val="24"/>
        </w:rPr>
        <w:t xml:space="preserve">of Commission </w:t>
      </w:r>
      <w:r w:rsidRPr="00FD492F">
        <w:rPr>
          <w:rFonts w:eastAsiaTheme="minorHAnsi"/>
          <w:sz w:val="24"/>
          <w:szCs w:val="24"/>
        </w:rPr>
        <w:t>Staff</w:t>
      </w:r>
      <w:r>
        <w:rPr>
          <w:rFonts w:eastAsiaTheme="minorHAnsi"/>
          <w:sz w:val="24"/>
          <w:szCs w:val="24"/>
        </w:rPr>
        <w:t>;</w:t>
      </w:r>
      <w:r w:rsidRPr="00FD492F">
        <w:rPr>
          <w:rFonts w:eastAsiaTheme="minorHAnsi"/>
          <w:sz w:val="24"/>
          <w:szCs w:val="24"/>
        </w:rPr>
        <w:t xml:space="preserve"> </w:t>
      </w:r>
      <w:r w:rsidR="004D667D">
        <w:rPr>
          <w:rFonts w:eastAsiaTheme="minorHAnsi"/>
          <w:sz w:val="24"/>
          <w:szCs w:val="24"/>
        </w:rPr>
        <w:t>and,</w:t>
      </w:r>
    </w:p>
    <w:p w14:paraId="30E52D19" w14:textId="7B036E75" w:rsidR="00080E35" w:rsidRPr="00FD492F" w:rsidRDefault="00080E35" w:rsidP="00080E35">
      <w:pPr>
        <w:numPr>
          <w:ilvl w:val="0"/>
          <w:numId w:val="8"/>
        </w:numPr>
        <w:contextualSpacing/>
        <w:jc w:val="both"/>
        <w:rPr>
          <w:rFonts w:eastAsiaTheme="minorHAnsi"/>
          <w:sz w:val="24"/>
          <w:szCs w:val="24"/>
        </w:rPr>
      </w:pPr>
      <w:r w:rsidRPr="00FD492F">
        <w:rPr>
          <w:rFonts w:eastAsiaTheme="minorHAnsi"/>
          <w:sz w:val="24"/>
          <w:szCs w:val="24"/>
        </w:rPr>
        <w:t xml:space="preserve">Provide a copy of the tariff to </w:t>
      </w:r>
      <w:r w:rsidR="00B62D04">
        <w:rPr>
          <w:rFonts w:eastAsiaTheme="minorHAnsi"/>
          <w:sz w:val="24"/>
          <w:szCs w:val="24"/>
        </w:rPr>
        <w:t>MSEC WW</w:t>
      </w:r>
      <w:r w:rsidRPr="00FD492F">
        <w:rPr>
          <w:rFonts w:eastAsiaTheme="minorHAnsi"/>
          <w:sz w:val="24"/>
          <w:szCs w:val="24"/>
        </w:rPr>
        <w:t>.</w:t>
      </w:r>
    </w:p>
    <w:bookmarkEnd w:id="0"/>
    <w:p w14:paraId="62FFE435" w14:textId="77777777" w:rsidR="00080E35" w:rsidRPr="00FD492F" w:rsidRDefault="00080E35" w:rsidP="00080E35">
      <w:pPr>
        <w:tabs>
          <w:tab w:val="left" w:pos="1440"/>
        </w:tabs>
        <w:ind w:hanging="1440"/>
        <w:jc w:val="both"/>
        <w:rPr>
          <w:rFonts w:eastAsiaTheme="minorHAnsi"/>
          <w:i/>
          <w:sz w:val="24"/>
          <w:szCs w:val="24"/>
        </w:rPr>
      </w:pPr>
    </w:p>
    <w:sectPr w:rsidR="00080E35" w:rsidRPr="00FD492F" w:rsidSect="003D5544">
      <w:headerReference w:type="default" r:id="rId10"/>
      <w:type w:val="continuous"/>
      <w:pgSz w:w="12240" w:h="15840"/>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68425" w14:textId="77777777" w:rsidR="00A34FC2" w:rsidRDefault="00A34FC2">
      <w:r>
        <w:separator/>
      </w:r>
    </w:p>
  </w:endnote>
  <w:endnote w:type="continuationSeparator" w:id="0">
    <w:p w14:paraId="151593A9" w14:textId="77777777" w:rsidR="00A34FC2" w:rsidRDefault="00A34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8902B" w14:textId="77777777" w:rsidR="00A34FC2" w:rsidRDefault="00A34FC2">
      <w:r>
        <w:separator/>
      </w:r>
    </w:p>
  </w:footnote>
  <w:footnote w:type="continuationSeparator" w:id="0">
    <w:p w14:paraId="3E3A81A9" w14:textId="77777777" w:rsidR="00A34FC2" w:rsidRDefault="00A34FC2">
      <w:r>
        <w:continuationSeparator/>
      </w:r>
    </w:p>
  </w:footnote>
  <w:footnote w:id="1">
    <w:p w14:paraId="1346689D" w14:textId="11FD3B45" w:rsidR="00080E35" w:rsidRPr="00924E54" w:rsidRDefault="00080E35" w:rsidP="00924E54">
      <w:pPr>
        <w:pStyle w:val="FootnoteText"/>
        <w:ind w:firstLine="720"/>
        <w:jc w:val="both"/>
        <w:rPr>
          <w:rFonts w:ascii="Times New Roman" w:hAnsi="Times New Roman" w:cs="Times New Roman"/>
        </w:rPr>
      </w:pPr>
      <w:r>
        <w:rPr>
          <w:rStyle w:val="FootnoteReference"/>
        </w:rPr>
        <w:footnoteRef/>
      </w:r>
      <w:r>
        <w:t xml:space="preserve">  </w:t>
      </w:r>
      <w:r w:rsidRPr="00127312">
        <w:rPr>
          <w:rFonts w:ascii="Times New Roman" w:hAnsi="Times New Roman" w:cs="Times New Roman"/>
        </w:rPr>
        <w:t xml:space="preserve">Application of </w:t>
      </w:r>
      <w:r w:rsidR="00B62D04" w:rsidRPr="00127312">
        <w:rPr>
          <w:rFonts w:ascii="Times New Roman" w:hAnsi="Times New Roman" w:cs="Times New Roman"/>
        </w:rPr>
        <w:t xml:space="preserve">MSEC </w:t>
      </w:r>
      <w:proofErr w:type="gramStart"/>
      <w:r w:rsidR="00B62D04" w:rsidRPr="00127312">
        <w:rPr>
          <w:rFonts w:ascii="Times New Roman" w:hAnsi="Times New Roman" w:cs="Times New Roman"/>
        </w:rPr>
        <w:t>W</w:t>
      </w:r>
      <w:r w:rsidR="00122792" w:rsidRPr="00127312">
        <w:rPr>
          <w:rFonts w:ascii="Times New Roman" w:hAnsi="Times New Roman" w:cs="Times New Roman"/>
        </w:rPr>
        <w:t xml:space="preserve">aste </w:t>
      </w:r>
      <w:r w:rsidR="00B62D04" w:rsidRPr="00127312">
        <w:rPr>
          <w:rFonts w:ascii="Times New Roman" w:hAnsi="Times New Roman" w:cs="Times New Roman"/>
        </w:rPr>
        <w:t>W</w:t>
      </w:r>
      <w:r w:rsidR="00122792" w:rsidRPr="00127312">
        <w:rPr>
          <w:rFonts w:ascii="Times New Roman" w:hAnsi="Times New Roman" w:cs="Times New Roman"/>
        </w:rPr>
        <w:t>ater</w:t>
      </w:r>
      <w:proofErr w:type="gramEnd"/>
      <w:r w:rsidR="00122792" w:rsidRPr="00127312">
        <w:rPr>
          <w:rFonts w:ascii="Times New Roman" w:hAnsi="Times New Roman" w:cs="Times New Roman"/>
        </w:rPr>
        <w:t xml:space="preserve">, Inc. </w:t>
      </w:r>
      <w:r w:rsidRPr="00127312">
        <w:rPr>
          <w:rFonts w:ascii="Times New Roman" w:hAnsi="Times New Roman" w:cs="Times New Roman"/>
        </w:rPr>
        <w:t>for Authority to Change Rates</w:t>
      </w:r>
      <w:r w:rsidRPr="00924E54">
        <w:rPr>
          <w:rFonts w:ascii="Times New Roman" w:hAnsi="Times New Roman" w:cs="Times New Roman"/>
        </w:rPr>
        <w:t xml:space="preserve"> at Schedules I-1 and III-1 (</w:t>
      </w:r>
      <w:r w:rsidR="00122792" w:rsidRPr="00924E54">
        <w:rPr>
          <w:rFonts w:ascii="Times New Roman" w:hAnsi="Times New Roman" w:cs="Times New Roman"/>
        </w:rPr>
        <w:t>Mar</w:t>
      </w:r>
      <w:r w:rsidR="008C2294">
        <w:rPr>
          <w:rFonts w:ascii="Times New Roman" w:hAnsi="Times New Roman" w:cs="Times New Roman"/>
        </w:rPr>
        <w:t>.</w:t>
      </w:r>
      <w:r w:rsidR="00122792" w:rsidRPr="00924E54">
        <w:rPr>
          <w:rFonts w:ascii="Times New Roman" w:hAnsi="Times New Roman" w:cs="Times New Roman"/>
        </w:rPr>
        <w:t xml:space="preserve"> 9</w:t>
      </w:r>
      <w:r w:rsidRPr="00924E54">
        <w:rPr>
          <w:rFonts w:ascii="Times New Roman" w:hAnsi="Times New Roman" w:cs="Times New Roman"/>
        </w:rPr>
        <w:t>, 2020)</w:t>
      </w:r>
      <w:r w:rsidR="008B436A">
        <w:rPr>
          <w:rFonts w:ascii="Times New Roman" w:hAnsi="Times New Roman" w:cs="Times New Roman"/>
        </w:rPr>
        <w:t xml:space="preserve"> (Application)</w:t>
      </w:r>
      <w:r w:rsidRPr="00924E54">
        <w:rPr>
          <w:rFonts w:ascii="Times New Roman" w:hAnsi="Times New Roman" w:cs="Times New Roman"/>
        </w:rPr>
        <w:t>.</w:t>
      </w:r>
    </w:p>
  </w:footnote>
  <w:footnote w:id="2">
    <w:p w14:paraId="0F280C08" w14:textId="77777777" w:rsidR="00080E35" w:rsidRPr="00924E54" w:rsidRDefault="00080E35" w:rsidP="005D0722">
      <w:pPr>
        <w:pStyle w:val="FootnoteText"/>
        <w:spacing w:before="120"/>
        <w:ind w:firstLine="720"/>
        <w:rPr>
          <w:rFonts w:ascii="Times New Roman" w:hAnsi="Times New Roman" w:cs="Times New Roman"/>
          <w:i/>
          <w:iCs/>
        </w:rPr>
      </w:pPr>
      <w:r w:rsidRPr="00924E54">
        <w:rPr>
          <w:rStyle w:val="FootnoteReference"/>
          <w:rFonts w:ascii="Times New Roman" w:hAnsi="Times New Roman" w:cs="Times New Roman"/>
        </w:rPr>
        <w:footnoteRef/>
      </w:r>
      <w:r w:rsidRPr="00924E54">
        <w:rPr>
          <w:rFonts w:ascii="Times New Roman" w:hAnsi="Times New Roman" w:cs="Times New Roman"/>
        </w:rPr>
        <w:t xml:space="preserve">  </w:t>
      </w:r>
      <w:r w:rsidRPr="00924E54">
        <w:rPr>
          <w:rFonts w:ascii="Times New Roman" w:hAnsi="Times New Roman" w:cs="Times New Roman"/>
          <w:i/>
          <w:iCs/>
        </w:rPr>
        <w:t>Id.</w:t>
      </w:r>
    </w:p>
  </w:footnote>
  <w:footnote w:id="3">
    <w:p w14:paraId="68FCB81B" w14:textId="69FBD604" w:rsidR="0014338F" w:rsidRPr="00D013B9" w:rsidRDefault="0014338F" w:rsidP="0014338F">
      <w:pPr>
        <w:pStyle w:val="FootnoteText"/>
        <w:ind w:firstLine="720"/>
        <w:jc w:val="both"/>
        <w:rPr>
          <w:rFonts w:ascii="Times New Roman" w:hAnsi="Times New Roman" w:cs="Times New Roman"/>
          <w:i/>
          <w:iCs/>
        </w:rPr>
      </w:pPr>
      <w:r w:rsidRPr="00D013B9">
        <w:rPr>
          <w:rStyle w:val="FootnoteReference"/>
          <w:rFonts w:ascii="Times New Roman" w:hAnsi="Times New Roman" w:cs="Times New Roman"/>
        </w:rPr>
        <w:footnoteRef/>
      </w:r>
      <w:r w:rsidRPr="00D013B9">
        <w:rPr>
          <w:rFonts w:ascii="Times New Roman" w:hAnsi="Times New Roman" w:cs="Times New Roman"/>
        </w:rPr>
        <w:t xml:space="preserve">  </w:t>
      </w:r>
      <w:r>
        <w:rPr>
          <w:rFonts w:ascii="Times New Roman" w:hAnsi="Times New Roman" w:cs="Times New Roman"/>
          <w:i/>
          <w:iCs/>
        </w:rPr>
        <w:t xml:space="preserve">Petition of MSEC Enterprises, Inc. for a Good Cause Extension to Rate Filing Requirement </w:t>
      </w:r>
      <w:r w:rsidR="00863058">
        <w:rPr>
          <w:rFonts w:ascii="Times New Roman" w:hAnsi="Times New Roman" w:cs="Times New Roman"/>
          <w:i/>
          <w:iCs/>
        </w:rPr>
        <w:t>S</w:t>
      </w:r>
      <w:r>
        <w:rPr>
          <w:rFonts w:ascii="Times New Roman" w:hAnsi="Times New Roman" w:cs="Times New Roman"/>
          <w:i/>
          <w:iCs/>
        </w:rPr>
        <w:t xml:space="preserve">et in </w:t>
      </w:r>
      <w:r w:rsidR="00863058">
        <w:rPr>
          <w:rFonts w:ascii="Times New Roman" w:hAnsi="Times New Roman" w:cs="Times New Roman"/>
          <w:i/>
          <w:iCs/>
        </w:rPr>
        <w:t>D</w:t>
      </w:r>
      <w:r>
        <w:rPr>
          <w:rFonts w:ascii="Times New Roman" w:hAnsi="Times New Roman" w:cs="Times New Roman"/>
          <w:i/>
          <w:iCs/>
        </w:rPr>
        <w:t xml:space="preserve">ocket No. 44740, </w:t>
      </w:r>
      <w:r w:rsidR="00863058">
        <w:rPr>
          <w:rFonts w:ascii="Times New Roman" w:hAnsi="Times New Roman" w:cs="Times New Roman"/>
        </w:rPr>
        <w:t xml:space="preserve">Docket No. 49200, </w:t>
      </w:r>
      <w:r>
        <w:rPr>
          <w:rFonts w:ascii="Times New Roman" w:hAnsi="Times New Roman" w:cs="Times New Roman"/>
        </w:rPr>
        <w:t>Petition for Additional Extension to Rate Filing Requirement</w:t>
      </w:r>
      <w:r w:rsidR="00863058">
        <w:rPr>
          <w:rFonts w:ascii="Times New Roman" w:hAnsi="Times New Roman" w:cs="Times New Roman"/>
        </w:rPr>
        <w:t xml:space="preserve"> (Jan. 13, 2020)</w:t>
      </w:r>
      <w:r>
        <w:rPr>
          <w:rFonts w:ascii="Times New Roman" w:hAnsi="Times New Roman" w:cs="Times New Roman"/>
        </w:rPr>
        <w:t>.</w:t>
      </w:r>
      <w:r>
        <w:rPr>
          <w:rFonts w:ascii="Times New Roman" w:hAnsi="Times New Roman" w:cs="Times New Roman"/>
          <w:i/>
          <w:iCs/>
        </w:rPr>
        <w:t xml:space="preserve">  </w:t>
      </w:r>
    </w:p>
  </w:footnote>
  <w:footnote w:id="4">
    <w:p w14:paraId="6FFB97BF" w14:textId="1BF5CA63" w:rsidR="00A02672" w:rsidRDefault="00A02672" w:rsidP="00A02672">
      <w:pPr>
        <w:pStyle w:val="FootnoteText"/>
        <w:spacing w:before="120"/>
        <w:ind w:firstLine="720"/>
        <w:jc w:val="both"/>
      </w:pPr>
      <w:r>
        <w:rPr>
          <w:rStyle w:val="FootnoteReference"/>
        </w:rPr>
        <w:footnoteRef/>
      </w:r>
      <w:r>
        <w:t xml:space="preserve">  </w:t>
      </w:r>
      <w:r w:rsidRPr="00793374">
        <w:rPr>
          <w:rFonts w:ascii="Times New Roman" w:hAnsi="Times New Roman" w:cs="Times New Roman"/>
        </w:rPr>
        <w:t xml:space="preserve">MSEC’s </w:t>
      </w:r>
      <w:proofErr w:type="gramStart"/>
      <w:r>
        <w:rPr>
          <w:rFonts w:ascii="Times New Roman" w:hAnsi="Times New Roman" w:cs="Times New Roman"/>
        </w:rPr>
        <w:t>Waste Water</w:t>
      </w:r>
      <w:proofErr w:type="gramEnd"/>
      <w:r>
        <w:rPr>
          <w:rFonts w:ascii="Times New Roman" w:hAnsi="Times New Roman" w:cs="Times New Roman"/>
        </w:rPr>
        <w:t>, Inc.’s Second Supplement to Application at 009 (Jul. 20, 2021).</w:t>
      </w:r>
    </w:p>
  </w:footnote>
  <w:footnote w:id="5">
    <w:p w14:paraId="18350297" w14:textId="3AD79065" w:rsidR="005448E4" w:rsidRDefault="005448E4" w:rsidP="00A02672">
      <w:pPr>
        <w:pStyle w:val="FootnoteText"/>
        <w:spacing w:before="120"/>
        <w:ind w:firstLine="720"/>
        <w:jc w:val="both"/>
      </w:pPr>
      <w:r w:rsidRPr="00A02672">
        <w:rPr>
          <w:rStyle w:val="FootnoteReference"/>
          <w:rFonts w:ascii="Times New Roman" w:hAnsi="Times New Roman" w:cs="Times New Roman"/>
        </w:rPr>
        <w:footnoteRef/>
      </w:r>
      <w:r w:rsidRPr="00A02672">
        <w:rPr>
          <w:rFonts w:ascii="Times New Roman" w:hAnsi="Times New Roman" w:cs="Times New Roman"/>
        </w:rPr>
        <w:t xml:space="preserve">  </w:t>
      </w:r>
      <w:r w:rsidR="00A02672" w:rsidRPr="00A02672">
        <w:rPr>
          <w:rFonts w:ascii="Times New Roman" w:hAnsi="Times New Roman" w:cs="Times New Roman"/>
          <w:i/>
          <w:iCs/>
        </w:rPr>
        <w:t>Id</w:t>
      </w:r>
      <w:r w:rsidR="00A02672" w:rsidRPr="00A02672">
        <w:rPr>
          <w:rFonts w:ascii="Times New Roman" w:hAnsi="Times New Roman" w:cs="Times New Roman"/>
        </w:rPr>
        <w:t>. at 003,</w:t>
      </w:r>
      <w:r w:rsidR="00A02672">
        <w:t xml:space="preserve"> </w:t>
      </w:r>
      <w:r w:rsidR="00A02672" w:rsidRPr="00A02672">
        <w:rPr>
          <w:rFonts w:ascii="Times New Roman" w:hAnsi="Times New Roman" w:cs="Times New Roman"/>
        </w:rPr>
        <w:t>010-11</w:t>
      </w:r>
      <w:r w:rsidR="00A02672">
        <w:t>.</w:t>
      </w:r>
    </w:p>
  </w:footnote>
  <w:footnote w:id="6">
    <w:p w14:paraId="0A97A906" w14:textId="0119CD4A" w:rsidR="009F1216" w:rsidRPr="00A02672" w:rsidRDefault="009F1216" w:rsidP="00A02672">
      <w:pPr>
        <w:pStyle w:val="FootnoteText"/>
        <w:spacing w:before="120"/>
        <w:ind w:firstLine="720"/>
        <w:jc w:val="both"/>
        <w:rPr>
          <w:rFonts w:ascii="Times New Roman" w:hAnsi="Times New Roman" w:cs="Times New Roman"/>
        </w:rPr>
      </w:pPr>
      <w:r>
        <w:rPr>
          <w:rStyle w:val="FootnoteReference"/>
        </w:rPr>
        <w:footnoteRef/>
      </w:r>
      <w:r>
        <w:t xml:space="preserve">  </w:t>
      </w:r>
      <w:r>
        <w:rPr>
          <w:rFonts w:ascii="Times New Roman" w:hAnsi="Times New Roman" w:cs="Times New Roman"/>
        </w:rPr>
        <w:t xml:space="preserve">Order No. 8 </w:t>
      </w:r>
      <w:r w:rsidR="00863058">
        <w:rPr>
          <w:rFonts w:ascii="Times New Roman" w:hAnsi="Times New Roman" w:cs="Times New Roman"/>
        </w:rPr>
        <w:t xml:space="preserve">Granting Motion to Compel and Extending Deadlines </w:t>
      </w:r>
      <w:r>
        <w:rPr>
          <w:rFonts w:ascii="Times New Roman" w:hAnsi="Times New Roman" w:cs="Times New Roman"/>
        </w:rPr>
        <w:t xml:space="preserve">(Sep. 25, 2020) and Order No. 8 </w:t>
      </w:r>
      <w:r w:rsidR="00863058">
        <w:rPr>
          <w:rFonts w:ascii="Times New Roman" w:hAnsi="Times New Roman" w:cs="Times New Roman"/>
        </w:rPr>
        <w:t xml:space="preserve">Granting Request to Abate Discovery and Granting Extension Request </w:t>
      </w:r>
      <w:r>
        <w:rPr>
          <w:rFonts w:ascii="Times New Roman" w:hAnsi="Times New Roman" w:cs="Times New Roman"/>
        </w:rPr>
        <w:t>(Oct. 23, 2020).</w:t>
      </w:r>
    </w:p>
  </w:footnote>
  <w:footnote w:id="7">
    <w:p w14:paraId="463DE7AE" w14:textId="7218BD3E" w:rsidR="00252A35" w:rsidRPr="00793374" w:rsidRDefault="00252A35" w:rsidP="00C416C1">
      <w:pPr>
        <w:pStyle w:val="FootnoteText"/>
        <w:spacing w:before="120"/>
        <w:ind w:firstLine="720"/>
        <w:jc w:val="both"/>
        <w:rPr>
          <w:rFonts w:ascii="Times New Roman" w:hAnsi="Times New Roman" w:cs="Times New Roman"/>
        </w:rPr>
      </w:pPr>
      <w:r w:rsidRPr="00793374">
        <w:rPr>
          <w:rStyle w:val="FootnoteReference"/>
          <w:rFonts w:ascii="Times New Roman" w:hAnsi="Times New Roman" w:cs="Times New Roman"/>
        </w:rPr>
        <w:footnoteRef/>
      </w:r>
      <w:r w:rsidRPr="00793374">
        <w:rPr>
          <w:rFonts w:ascii="Times New Roman" w:hAnsi="Times New Roman" w:cs="Times New Roman"/>
        </w:rPr>
        <w:t xml:space="preserve">  MSEC’s </w:t>
      </w:r>
      <w:proofErr w:type="gramStart"/>
      <w:r>
        <w:rPr>
          <w:rFonts w:ascii="Times New Roman" w:hAnsi="Times New Roman" w:cs="Times New Roman"/>
        </w:rPr>
        <w:t>Waste Water</w:t>
      </w:r>
      <w:proofErr w:type="gramEnd"/>
      <w:r>
        <w:rPr>
          <w:rFonts w:ascii="Times New Roman" w:hAnsi="Times New Roman" w:cs="Times New Roman"/>
        </w:rPr>
        <w:t>, Inc.’s Second Supplement to Application at Attachment A.</w:t>
      </w:r>
    </w:p>
  </w:footnote>
  <w:footnote w:id="8">
    <w:p w14:paraId="6BD00841" w14:textId="0C1A92E1" w:rsidR="001C4A9C" w:rsidRDefault="001C4A9C" w:rsidP="001B5B66">
      <w:pPr>
        <w:pStyle w:val="FootnoteText"/>
        <w:spacing w:before="120"/>
        <w:ind w:firstLine="720"/>
        <w:jc w:val="both"/>
      </w:pPr>
      <w:r>
        <w:rPr>
          <w:rStyle w:val="FootnoteReference"/>
        </w:rPr>
        <w:footnoteRef/>
      </w:r>
      <w:r>
        <w:t xml:space="preserve">  </w:t>
      </w:r>
      <w:r w:rsidRPr="00127312">
        <w:rPr>
          <w:rFonts w:ascii="Times New Roman" w:hAnsi="Times New Roman" w:cs="Times New Roman"/>
        </w:rPr>
        <w:t>Application</w:t>
      </w:r>
      <w:r w:rsidRPr="00924E54">
        <w:rPr>
          <w:rFonts w:ascii="Times New Roman" w:hAnsi="Times New Roman" w:cs="Times New Roman"/>
        </w:rPr>
        <w:t xml:space="preserve"> at Schedule</w:t>
      </w:r>
      <w:r>
        <w:rPr>
          <w:rFonts w:ascii="Times New Roman" w:hAnsi="Times New Roman" w:cs="Times New Roman"/>
        </w:rPr>
        <w:t xml:space="preserve"> </w:t>
      </w:r>
      <w:r w:rsidR="00327FC1">
        <w:rPr>
          <w:rFonts w:ascii="Times New Roman" w:hAnsi="Times New Roman" w:cs="Times New Roman"/>
        </w:rPr>
        <w:t>VI-5</w:t>
      </w:r>
      <w:r w:rsidR="008B436A">
        <w:rPr>
          <w:rFonts w:ascii="Times New Roman" w:hAnsi="Times New Roman" w:cs="Times New Roman"/>
        </w:rPr>
        <w:t>;</w:t>
      </w:r>
      <w:r w:rsidR="00E93AB3">
        <w:rPr>
          <w:rFonts w:ascii="Times New Roman" w:hAnsi="Times New Roman" w:cs="Times New Roman"/>
        </w:rPr>
        <w:t xml:space="preserve"> </w:t>
      </w:r>
      <w:r w:rsidR="00E93AB3" w:rsidRPr="00127312">
        <w:rPr>
          <w:rFonts w:ascii="Times New Roman" w:hAnsi="Times New Roman" w:cs="Times New Roman"/>
        </w:rPr>
        <w:t xml:space="preserve">MSEC’s Response to Staff’s Second RFI 2-4 </w:t>
      </w:r>
      <w:r w:rsidR="008B436A">
        <w:rPr>
          <w:rFonts w:ascii="Times New Roman" w:hAnsi="Times New Roman" w:cs="Times New Roman"/>
        </w:rPr>
        <w:t xml:space="preserve">at </w:t>
      </w:r>
      <w:r w:rsidR="00E93AB3" w:rsidRPr="00127312">
        <w:rPr>
          <w:rFonts w:ascii="Times New Roman" w:hAnsi="Times New Roman" w:cs="Times New Roman"/>
        </w:rPr>
        <w:t>Bates 63-122</w:t>
      </w:r>
      <w:r w:rsidR="00E93AB3">
        <w:rPr>
          <w:rFonts w:ascii="Times New Roman" w:hAnsi="Times New Roman" w:cs="Times New Roman"/>
        </w:rPr>
        <w:t xml:space="preserve"> (May 3,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370B7" w14:textId="22F2CD7E" w:rsidR="003D5544" w:rsidRDefault="003D5544" w:rsidP="003D5544">
    <w:pPr>
      <w:pStyle w:val="Header"/>
      <w:jc w:val="both"/>
    </w:pPr>
    <w:r>
      <w:t xml:space="preserve">Docket No. 50569 </w:t>
    </w:r>
    <w:r>
      <w:tab/>
      <w:t>Memorandum of Leila Guerrero</w:t>
    </w:r>
    <w:r>
      <w:tab/>
      <w:t>Page 2 of 3</w:t>
    </w:r>
  </w:p>
  <w:p w14:paraId="3CF7187B" w14:textId="77777777" w:rsidR="003D5544" w:rsidRDefault="003D55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2282A" w14:textId="77777777" w:rsidR="00DA36E8" w:rsidRDefault="00DA36E8">
    <w:pPr>
      <w:pStyle w:val="Header"/>
      <w:jc w:val="center"/>
      <w:rPr>
        <w:b/>
        <w:i/>
        <w:sz w:val="38"/>
      </w:rPr>
    </w:pPr>
    <w:r>
      <w:rPr>
        <w:b/>
        <w:i/>
        <w:sz w:val="38"/>
      </w:rPr>
      <w:t>Public Utility Commission of Texas</w:t>
    </w:r>
  </w:p>
  <w:p w14:paraId="29FB80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083D672" w14:textId="77777777" w:rsidR="00DA36E8" w:rsidRDefault="00DA36E8">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85CD8" w14:textId="3F24CE75" w:rsidR="00DA36E8" w:rsidRDefault="00327FC1" w:rsidP="00BA21B7">
    <w:pPr>
      <w:pStyle w:val="Header"/>
      <w:jc w:val="both"/>
    </w:pPr>
    <w:r>
      <w:t xml:space="preserve">Docket No. 50569 </w:t>
    </w:r>
    <w:r w:rsidR="00BA21B7">
      <w:tab/>
    </w:r>
    <w:r>
      <w:t>Memorandum of Leila Guerrero</w:t>
    </w:r>
    <w:r>
      <w:tab/>
      <w:t xml:space="preserve">Page </w:t>
    </w:r>
    <w:r w:rsidR="003D5544">
      <w:t>3</w:t>
    </w:r>
    <w:r>
      <w:t xml:space="preserve"> of</w:t>
    </w:r>
    <w:r w:rsidR="003D5544">
      <w:t xml:space="preserv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212CB"/>
    <w:multiLevelType w:val="hybridMultilevel"/>
    <w:tmpl w:val="717288D8"/>
    <w:lvl w:ilvl="0" w:tplc="4F54BCC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DF144C"/>
    <w:multiLevelType w:val="hybridMultilevel"/>
    <w:tmpl w:val="A37C3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2EDE"/>
    <w:multiLevelType w:val="hybridMultilevel"/>
    <w:tmpl w:val="36301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A15778"/>
    <w:multiLevelType w:val="hybridMultilevel"/>
    <w:tmpl w:val="CDF85C7C"/>
    <w:lvl w:ilvl="0" w:tplc="6056603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4D33CD7"/>
    <w:multiLevelType w:val="hybridMultilevel"/>
    <w:tmpl w:val="8D5C8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F54E8A"/>
    <w:multiLevelType w:val="hybridMultilevel"/>
    <w:tmpl w:val="BE96245E"/>
    <w:lvl w:ilvl="0" w:tplc="0DD2A8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B337128"/>
    <w:multiLevelType w:val="hybridMultilevel"/>
    <w:tmpl w:val="8384E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616908"/>
    <w:multiLevelType w:val="hybridMultilevel"/>
    <w:tmpl w:val="E716C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evenAndOddHeaders/>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D2"/>
    <w:rsid w:val="00000E21"/>
    <w:rsid w:val="00006A6A"/>
    <w:rsid w:val="00020485"/>
    <w:rsid w:val="000358E8"/>
    <w:rsid w:val="000438BB"/>
    <w:rsid w:val="000450A4"/>
    <w:rsid w:val="00061F70"/>
    <w:rsid w:val="00080E35"/>
    <w:rsid w:val="00093A9A"/>
    <w:rsid w:val="000B202C"/>
    <w:rsid w:val="000B3AFC"/>
    <w:rsid w:val="000B494A"/>
    <w:rsid w:val="000D0767"/>
    <w:rsid w:val="000E1114"/>
    <w:rsid w:val="000F3FBF"/>
    <w:rsid w:val="00100BA9"/>
    <w:rsid w:val="00115441"/>
    <w:rsid w:val="00122792"/>
    <w:rsid w:val="001228F1"/>
    <w:rsid w:val="00127312"/>
    <w:rsid w:val="001344E6"/>
    <w:rsid w:val="001407FA"/>
    <w:rsid w:val="00142711"/>
    <w:rsid w:val="00142ECD"/>
    <w:rsid w:val="0014338F"/>
    <w:rsid w:val="001544CE"/>
    <w:rsid w:val="0016194C"/>
    <w:rsid w:val="001651AA"/>
    <w:rsid w:val="00184C1F"/>
    <w:rsid w:val="0018708D"/>
    <w:rsid w:val="001972FF"/>
    <w:rsid w:val="001B3B3F"/>
    <w:rsid w:val="001B5B66"/>
    <w:rsid w:val="001C4A9C"/>
    <w:rsid w:val="00221FEE"/>
    <w:rsid w:val="002335F3"/>
    <w:rsid w:val="00233B5C"/>
    <w:rsid w:val="00252A35"/>
    <w:rsid w:val="00263780"/>
    <w:rsid w:val="00264400"/>
    <w:rsid w:val="00275EFF"/>
    <w:rsid w:val="00284905"/>
    <w:rsid w:val="00285DD5"/>
    <w:rsid w:val="002C4E63"/>
    <w:rsid w:val="002D22B4"/>
    <w:rsid w:val="002D6177"/>
    <w:rsid w:val="002E0FDB"/>
    <w:rsid w:val="002F1CCC"/>
    <w:rsid w:val="002F5636"/>
    <w:rsid w:val="002F5A9E"/>
    <w:rsid w:val="00326879"/>
    <w:rsid w:val="00327FC1"/>
    <w:rsid w:val="003429DF"/>
    <w:rsid w:val="003D5544"/>
    <w:rsid w:val="003D7587"/>
    <w:rsid w:val="003E0CCF"/>
    <w:rsid w:val="003E3B65"/>
    <w:rsid w:val="003E5BCE"/>
    <w:rsid w:val="003E6360"/>
    <w:rsid w:val="003F3D30"/>
    <w:rsid w:val="00435ACF"/>
    <w:rsid w:val="00435C16"/>
    <w:rsid w:val="00447DC5"/>
    <w:rsid w:val="00460DF2"/>
    <w:rsid w:val="004613AF"/>
    <w:rsid w:val="004645AE"/>
    <w:rsid w:val="004671D5"/>
    <w:rsid w:val="004A2873"/>
    <w:rsid w:val="004A39D3"/>
    <w:rsid w:val="004C2D2A"/>
    <w:rsid w:val="004D1874"/>
    <w:rsid w:val="004D667D"/>
    <w:rsid w:val="004E741F"/>
    <w:rsid w:val="004F4159"/>
    <w:rsid w:val="00510101"/>
    <w:rsid w:val="005210F6"/>
    <w:rsid w:val="00521132"/>
    <w:rsid w:val="00522398"/>
    <w:rsid w:val="00523E86"/>
    <w:rsid w:val="00524AE0"/>
    <w:rsid w:val="00540382"/>
    <w:rsid w:val="005448E4"/>
    <w:rsid w:val="005616A0"/>
    <w:rsid w:val="00566C35"/>
    <w:rsid w:val="00581611"/>
    <w:rsid w:val="00582A47"/>
    <w:rsid w:val="00585872"/>
    <w:rsid w:val="0058622F"/>
    <w:rsid w:val="00587EA2"/>
    <w:rsid w:val="00591D7F"/>
    <w:rsid w:val="005D0722"/>
    <w:rsid w:val="005D0B27"/>
    <w:rsid w:val="005D1833"/>
    <w:rsid w:val="005D21B7"/>
    <w:rsid w:val="005D2B31"/>
    <w:rsid w:val="005D6B9F"/>
    <w:rsid w:val="005F0F63"/>
    <w:rsid w:val="00612361"/>
    <w:rsid w:val="00614951"/>
    <w:rsid w:val="006150C3"/>
    <w:rsid w:val="00615212"/>
    <w:rsid w:val="006160D6"/>
    <w:rsid w:val="00623B8E"/>
    <w:rsid w:val="00633DA7"/>
    <w:rsid w:val="00643653"/>
    <w:rsid w:val="006500D2"/>
    <w:rsid w:val="00660B44"/>
    <w:rsid w:val="00684850"/>
    <w:rsid w:val="0068714B"/>
    <w:rsid w:val="006D14F9"/>
    <w:rsid w:val="006E53A3"/>
    <w:rsid w:val="006F1AAC"/>
    <w:rsid w:val="00702A92"/>
    <w:rsid w:val="0070304E"/>
    <w:rsid w:val="00714933"/>
    <w:rsid w:val="00716D94"/>
    <w:rsid w:val="00720FFE"/>
    <w:rsid w:val="0074680E"/>
    <w:rsid w:val="0075395E"/>
    <w:rsid w:val="00755A20"/>
    <w:rsid w:val="00755F4B"/>
    <w:rsid w:val="00765020"/>
    <w:rsid w:val="007810B1"/>
    <w:rsid w:val="00787786"/>
    <w:rsid w:val="0079078C"/>
    <w:rsid w:val="00793A78"/>
    <w:rsid w:val="007D4BF7"/>
    <w:rsid w:val="007E1A94"/>
    <w:rsid w:val="007E2E73"/>
    <w:rsid w:val="007E4EE0"/>
    <w:rsid w:val="007E66F6"/>
    <w:rsid w:val="007F0267"/>
    <w:rsid w:val="007F2C51"/>
    <w:rsid w:val="00810214"/>
    <w:rsid w:val="00822EA5"/>
    <w:rsid w:val="00824D61"/>
    <w:rsid w:val="008262FF"/>
    <w:rsid w:val="008522AE"/>
    <w:rsid w:val="008549C7"/>
    <w:rsid w:val="00863058"/>
    <w:rsid w:val="00892654"/>
    <w:rsid w:val="00893352"/>
    <w:rsid w:val="0089501E"/>
    <w:rsid w:val="00895DB4"/>
    <w:rsid w:val="008A4393"/>
    <w:rsid w:val="008B436A"/>
    <w:rsid w:val="008B77EE"/>
    <w:rsid w:val="008C2294"/>
    <w:rsid w:val="0091083F"/>
    <w:rsid w:val="00916962"/>
    <w:rsid w:val="00924E54"/>
    <w:rsid w:val="00927DB0"/>
    <w:rsid w:val="00943D5A"/>
    <w:rsid w:val="00960B61"/>
    <w:rsid w:val="00964A93"/>
    <w:rsid w:val="00975514"/>
    <w:rsid w:val="00976E18"/>
    <w:rsid w:val="00987B82"/>
    <w:rsid w:val="00993251"/>
    <w:rsid w:val="00994A97"/>
    <w:rsid w:val="009D27FE"/>
    <w:rsid w:val="009E0972"/>
    <w:rsid w:val="009F1216"/>
    <w:rsid w:val="00A0264E"/>
    <w:rsid w:val="00A02672"/>
    <w:rsid w:val="00A07DF3"/>
    <w:rsid w:val="00A34FC2"/>
    <w:rsid w:val="00A60777"/>
    <w:rsid w:val="00A644D7"/>
    <w:rsid w:val="00A73A39"/>
    <w:rsid w:val="00A7691E"/>
    <w:rsid w:val="00A80129"/>
    <w:rsid w:val="00A91ECC"/>
    <w:rsid w:val="00AA2906"/>
    <w:rsid w:val="00AC07B8"/>
    <w:rsid w:val="00AF2D05"/>
    <w:rsid w:val="00AF3750"/>
    <w:rsid w:val="00AF454D"/>
    <w:rsid w:val="00B0706F"/>
    <w:rsid w:val="00B16C05"/>
    <w:rsid w:val="00B42CD3"/>
    <w:rsid w:val="00B55BFA"/>
    <w:rsid w:val="00B560FE"/>
    <w:rsid w:val="00B62D04"/>
    <w:rsid w:val="00B6779E"/>
    <w:rsid w:val="00B7154D"/>
    <w:rsid w:val="00B727BE"/>
    <w:rsid w:val="00B84C01"/>
    <w:rsid w:val="00B97635"/>
    <w:rsid w:val="00BA21B7"/>
    <w:rsid w:val="00BA4391"/>
    <w:rsid w:val="00BA6ADB"/>
    <w:rsid w:val="00BB5489"/>
    <w:rsid w:val="00BB7496"/>
    <w:rsid w:val="00BD0AC1"/>
    <w:rsid w:val="00BD2905"/>
    <w:rsid w:val="00BD2D0D"/>
    <w:rsid w:val="00BD402D"/>
    <w:rsid w:val="00BD768A"/>
    <w:rsid w:val="00BD7E56"/>
    <w:rsid w:val="00BF61E2"/>
    <w:rsid w:val="00C042E5"/>
    <w:rsid w:val="00C07F96"/>
    <w:rsid w:val="00C134FD"/>
    <w:rsid w:val="00C26071"/>
    <w:rsid w:val="00C416C1"/>
    <w:rsid w:val="00C73FBF"/>
    <w:rsid w:val="00C75BBC"/>
    <w:rsid w:val="00C80413"/>
    <w:rsid w:val="00C9114E"/>
    <w:rsid w:val="00C9730A"/>
    <w:rsid w:val="00CB519D"/>
    <w:rsid w:val="00CD257A"/>
    <w:rsid w:val="00D07071"/>
    <w:rsid w:val="00D16C25"/>
    <w:rsid w:val="00D22780"/>
    <w:rsid w:val="00D31883"/>
    <w:rsid w:val="00D46F22"/>
    <w:rsid w:val="00D5792C"/>
    <w:rsid w:val="00D618C9"/>
    <w:rsid w:val="00D70769"/>
    <w:rsid w:val="00D90796"/>
    <w:rsid w:val="00DA36E8"/>
    <w:rsid w:val="00DA7959"/>
    <w:rsid w:val="00DC4549"/>
    <w:rsid w:val="00DD0D4D"/>
    <w:rsid w:val="00DE3201"/>
    <w:rsid w:val="00E107EC"/>
    <w:rsid w:val="00E14043"/>
    <w:rsid w:val="00E23A71"/>
    <w:rsid w:val="00E64705"/>
    <w:rsid w:val="00E67E1C"/>
    <w:rsid w:val="00E703C7"/>
    <w:rsid w:val="00E93AB3"/>
    <w:rsid w:val="00E9582D"/>
    <w:rsid w:val="00E975AA"/>
    <w:rsid w:val="00EA5690"/>
    <w:rsid w:val="00EB5368"/>
    <w:rsid w:val="00EB716F"/>
    <w:rsid w:val="00EE540D"/>
    <w:rsid w:val="00EF4A25"/>
    <w:rsid w:val="00F077C3"/>
    <w:rsid w:val="00F243B0"/>
    <w:rsid w:val="00F33A04"/>
    <w:rsid w:val="00F343CA"/>
    <w:rsid w:val="00F36F7D"/>
    <w:rsid w:val="00F420BB"/>
    <w:rsid w:val="00F61A02"/>
    <w:rsid w:val="00F86793"/>
    <w:rsid w:val="00F93F6B"/>
    <w:rsid w:val="00FB2E30"/>
    <w:rsid w:val="00FC06DF"/>
    <w:rsid w:val="00FC2543"/>
    <w:rsid w:val="00FD0F02"/>
    <w:rsid w:val="00FE3749"/>
    <w:rsid w:val="00FE4AB0"/>
    <w:rsid w:val="00FE50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D5B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0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ListParagraph">
    <w:name w:val="List Paragraph"/>
    <w:basedOn w:val="Normal"/>
    <w:uiPriority w:val="34"/>
    <w:qFormat/>
    <w:rsid w:val="00BD7E56"/>
    <w:pPr>
      <w:spacing w:after="200" w:line="276" w:lineRule="auto"/>
      <w:ind w:left="720"/>
      <w:contextualSpacing/>
    </w:pPr>
    <w:rPr>
      <w:rFonts w:eastAsiaTheme="minorHAnsi" w:cstheme="minorBidi"/>
      <w:sz w:val="24"/>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BD7E56"/>
    <w:rPr>
      <w:rFonts w:asciiTheme="minorHAnsi" w:eastAsiaTheme="minorHAnsi" w:hAnsiTheme="minorHAnsi" w:cstheme="minorBidi"/>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BD7E56"/>
    <w:rPr>
      <w:rFonts w:asciiTheme="minorHAnsi" w:eastAsiaTheme="minorHAnsi" w:hAnsiTheme="minorHAnsi" w:cstheme="minorBidi"/>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BD7E56"/>
    <w:rPr>
      <w:vertAlign w:val="superscript"/>
    </w:rPr>
  </w:style>
  <w:style w:type="table" w:styleId="TableGrid">
    <w:name w:val="Table Grid"/>
    <w:basedOn w:val="TableNormal"/>
    <w:uiPriority w:val="59"/>
    <w:rsid w:val="002C4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15441"/>
    <w:rPr>
      <w:sz w:val="16"/>
      <w:szCs w:val="16"/>
    </w:rPr>
  </w:style>
  <w:style w:type="paragraph" w:styleId="CommentText">
    <w:name w:val="annotation text"/>
    <w:basedOn w:val="Normal"/>
    <w:link w:val="CommentTextChar"/>
    <w:uiPriority w:val="99"/>
    <w:unhideWhenUsed/>
    <w:rsid w:val="00115441"/>
  </w:style>
  <w:style w:type="character" w:customStyle="1" w:styleId="CommentTextChar">
    <w:name w:val="Comment Text Char"/>
    <w:basedOn w:val="DefaultParagraphFont"/>
    <w:link w:val="CommentText"/>
    <w:uiPriority w:val="99"/>
    <w:rsid w:val="00115441"/>
  </w:style>
  <w:style w:type="paragraph" w:styleId="CommentSubject">
    <w:name w:val="annotation subject"/>
    <w:basedOn w:val="CommentText"/>
    <w:next w:val="CommentText"/>
    <w:link w:val="CommentSubjectChar"/>
    <w:uiPriority w:val="99"/>
    <w:semiHidden/>
    <w:unhideWhenUsed/>
    <w:rsid w:val="00115441"/>
    <w:rPr>
      <w:b/>
      <w:bCs/>
    </w:rPr>
  </w:style>
  <w:style w:type="character" w:customStyle="1" w:styleId="CommentSubjectChar">
    <w:name w:val="Comment Subject Char"/>
    <w:basedOn w:val="CommentTextChar"/>
    <w:link w:val="CommentSubject"/>
    <w:uiPriority w:val="99"/>
    <w:semiHidden/>
    <w:rsid w:val="001154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42154">
      <w:bodyDiv w:val="1"/>
      <w:marLeft w:val="0"/>
      <w:marRight w:val="0"/>
      <w:marTop w:val="0"/>
      <w:marBottom w:val="0"/>
      <w:divBdr>
        <w:top w:val="none" w:sz="0" w:space="0" w:color="auto"/>
        <w:left w:val="none" w:sz="0" w:space="0" w:color="auto"/>
        <w:bottom w:val="none" w:sz="0" w:space="0" w:color="auto"/>
        <w:right w:val="none" w:sz="0" w:space="0" w:color="auto"/>
      </w:divBdr>
    </w:div>
    <w:div w:id="258492365">
      <w:bodyDiv w:val="1"/>
      <w:marLeft w:val="0"/>
      <w:marRight w:val="0"/>
      <w:marTop w:val="0"/>
      <w:marBottom w:val="0"/>
      <w:divBdr>
        <w:top w:val="none" w:sz="0" w:space="0" w:color="auto"/>
        <w:left w:val="none" w:sz="0" w:space="0" w:color="auto"/>
        <w:bottom w:val="none" w:sz="0" w:space="0" w:color="auto"/>
        <w:right w:val="none" w:sz="0" w:space="0" w:color="auto"/>
      </w:divBdr>
    </w:div>
    <w:div w:id="1402755876">
      <w:bodyDiv w:val="1"/>
      <w:marLeft w:val="0"/>
      <w:marRight w:val="0"/>
      <w:marTop w:val="0"/>
      <w:marBottom w:val="0"/>
      <w:divBdr>
        <w:top w:val="none" w:sz="0" w:space="0" w:color="auto"/>
        <w:left w:val="none" w:sz="0" w:space="0" w:color="auto"/>
        <w:bottom w:val="none" w:sz="0" w:space="0" w:color="auto"/>
        <w:right w:val="none" w:sz="0" w:space="0" w:color="auto"/>
      </w:divBdr>
    </w:div>
    <w:div w:id="1983998481">
      <w:bodyDiv w:val="1"/>
      <w:marLeft w:val="0"/>
      <w:marRight w:val="0"/>
      <w:marTop w:val="0"/>
      <w:marBottom w:val="0"/>
      <w:divBdr>
        <w:top w:val="none" w:sz="0" w:space="0" w:color="auto"/>
        <w:left w:val="none" w:sz="0" w:space="0" w:color="auto"/>
        <w:bottom w:val="none" w:sz="0" w:space="0" w:color="auto"/>
        <w:right w:val="none" w:sz="0" w:space="0" w:color="auto"/>
      </w:divBdr>
    </w:div>
    <w:div w:id="2062056218">
      <w:bodyDiv w:val="1"/>
      <w:marLeft w:val="0"/>
      <w:marRight w:val="0"/>
      <w:marTop w:val="0"/>
      <w:marBottom w:val="0"/>
      <w:divBdr>
        <w:top w:val="none" w:sz="0" w:space="0" w:color="auto"/>
        <w:left w:val="none" w:sz="0" w:space="0" w:color="auto"/>
        <w:bottom w:val="none" w:sz="0" w:space="0" w:color="auto"/>
        <w:right w:val="none" w:sz="0" w:space="0" w:color="auto"/>
      </w:divBdr>
    </w:div>
    <w:div w:id="207935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E3ACEBDF8F547018AB56B894BF1D195"/>
        <w:category>
          <w:name w:val="General"/>
          <w:gallery w:val="placeholder"/>
        </w:category>
        <w:types>
          <w:type w:val="bbPlcHdr"/>
        </w:types>
        <w:behaviors>
          <w:behavior w:val="content"/>
        </w:behaviors>
        <w:guid w:val="{B1D7A89D-6D20-436D-9DC9-AE93D5E8F6E2}"/>
      </w:docPartPr>
      <w:docPartBody>
        <w:p w:rsidR="001C0EE7" w:rsidRDefault="00090E8B" w:rsidP="00090E8B">
          <w:pPr>
            <w:pStyle w:val="EE3ACEBDF8F547018AB56B894BF1D195"/>
          </w:pPr>
          <w:r w:rsidRPr="00C40827">
            <w:rPr>
              <w:rStyle w:val="PlaceholderText"/>
              <w:rFonts w:eastAsiaTheme="minorHAnsi"/>
            </w:rPr>
            <w:t>Click here to enter text.</w:t>
          </w:r>
        </w:p>
      </w:docPartBody>
    </w:docPart>
    <w:docPart>
      <w:docPartPr>
        <w:name w:val="CD5F3AB3F1D14EA7A342210F3EA500F1"/>
        <w:category>
          <w:name w:val="General"/>
          <w:gallery w:val="placeholder"/>
        </w:category>
        <w:types>
          <w:type w:val="bbPlcHdr"/>
        </w:types>
        <w:behaviors>
          <w:behavior w:val="content"/>
        </w:behaviors>
        <w:guid w:val="{EB32A689-63E0-4601-82E3-59B4711D958E}"/>
      </w:docPartPr>
      <w:docPartBody>
        <w:p w:rsidR="001C0EE7" w:rsidRDefault="00090E8B" w:rsidP="00090E8B">
          <w:pPr>
            <w:pStyle w:val="CD5F3AB3F1D14EA7A342210F3EA500F1"/>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E8B"/>
    <w:rsid w:val="00065EAB"/>
    <w:rsid w:val="00090E8B"/>
    <w:rsid w:val="001632FC"/>
    <w:rsid w:val="001C0EE7"/>
    <w:rsid w:val="00367C0E"/>
    <w:rsid w:val="00525E12"/>
    <w:rsid w:val="00575E25"/>
    <w:rsid w:val="005E556E"/>
    <w:rsid w:val="00640A03"/>
    <w:rsid w:val="006E637C"/>
    <w:rsid w:val="009004E2"/>
    <w:rsid w:val="00904E85"/>
    <w:rsid w:val="0091356E"/>
    <w:rsid w:val="00932414"/>
    <w:rsid w:val="00AE3559"/>
    <w:rsid w:val="00AF4CDA"/>
    <w:rsid w:val="00C11066"/>
    <w:rsid w:val="00D04AFB"/>
    <w:rsid w:val="00D42DBA"/>
    <w:rsid w:val="00DB1432"/>
    <w:rsid w:val="00E53E2D"/>
    <w:rsid w:val="00FF0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32414"/>
  </w:style>
  <w:style w:type="paragraph" w:customStyle="1" w:styleId="EE3ACEBDF8F547018AB56B894BF1D195">
    <w:name w:val="EE3ACEBDF8F547018AB56B894BF1D195"/>
    <w:rsid w:val="00090E8B"/>
  </w:style>
  <w:style w:type="paragraph" w:customStyle="1" w:styleId="CD5F3AB3F1D14EA7A342210F3EA500F1">
    <w:name w:val="CD5F3AB3F1D14EA7A342210F3EA500F1"/>
    <w:rsid w:val="00090E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6FE4D-A9BB-4F17-9882-92AAAC36D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2021-08-03T14:21:00Z</dcterms:created>
  <dcterms:modified xsi:type="dcterms:W3CDTF">2021-08-04T17:41:00Z</dcterms:modified>
</cp:coreProperties>
</file>